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F07F" w14:textId="2F571587" w:rsidR="00AC1939" w:rsidRPr="00765010" w:rsidRDefault="007441BF" w:rsidP="00533864">
      <w:pPr>
        <w:ind w:left="426"/>
        <w:jc w:val="center"/>
        <w:rPr>
          <w:rFonts w:ascii="Times New Roman" w:hAnsi="Times New Roman" w:cs="Times New Roman"/>
          <w:b/>
          <w:sz w:val="24"/>
          <w:szCs w:val="24"/>
        </w:rPr>
      </w:pPr>
      <w:r w:rsidRPr="00765010">
        <w:rPr>
          <w:rFonts w:ascii="Times New Roman" w:hAnsi="Times New Roman" w:cs="Times New Roman"/>
          <w:noProof/>
          <w:sz w:val="24"/>
          <w:szCs w:val="24"/>
        </w:rPr>
        <mc:AlternateContent>
          <mc:Choice Requires="wps">
            <w:drawing>
              <wp:anchor distT="0" distB="0" distL="114300" distR="114300" simplePos="0" relativeHeight="251657216" behindDoc="1" locked="0" layoutInCell="1" allowOverlap="1" wp14:anchorId="1AF82859" wp14:editId="05F3DCFB">
                <wp:simplePos x="0" y="0"/>
                <wp:positionH relativeFrom="column">
                  <wp:posOffset>124460</wp:posOffset>
                </wp:positionH>
                <wp:positionV relativeFrom="paragraph">
                  <wp:posOffset>-220345</wp:posOffset>
                </wp:positionV>
                <wp:extent cx="6353175" cy="6953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695325"/>
                        </a:xfrm>
                        <a:prstGeom prst="rect">
                          <a:avLst/>
                        </a:prstGeom>
                        <a:gradFill rotWithShape="1">
                          <a:gsLst>
                            <a:gs pos="0">
                              <a:srgbClr val="4F81BD">
                                <a:lumMod val="20000"/>
                                <a:lumOff val="80000"/>
                              </a:srgbClr>
                            </a:gs>
                            <a:gs pos="100000">
                              <a:srgbClr val="4F81BD">
                                <a:lumMod val="60000"/>
                                <a:lumOff val="40000"/>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8CFCA" id="Rectangle 5" o:spid="_x0000_s1026" style="position:absolute;margin-left:9.8pt;margin-top:-17.35pt;width:500.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" fillcolor="#dce6f2">
                <v:fill color2="#95b3d7" rotate="t" focus="100%" type="gradient"/>
              </v:rect>
            </w:pict>
          </mc:Fallback>
        </mc:AlternateContent>
      </w:r>
      <w:r w:rsidR="00AC1939" w:rsidRPr="00765010">
        <w:rPr>
          <w:rFonts w:ascii="Times New Roman" w:hAnsi="Times New Roman" w:cs="Times New Roman"/>
          <w:b/>
          <w:sz w:val="24"/>
          <w:szCs w:val="24"/>
        </w:rPr>
        <w:t xml:space="preserve">RAPORT O SYTUACJI EKONOMICZNO-FINANSOWEJ SAMODZIELNEGO PUBLICZNEGO ZAKŁADU OPIEKI ZDROWOTNEJ  </w:t>
      </w:r>
    </w:p>
    <w:p w14:paraId="676A1725" w14:textId="77777777" w:rsidR="00A53D39" w:rsidRPr="00765010" w:rsidRDefault="00A53D39" w:rsidP="00A53D39">
      <w:pPr>
        <w:jc w:val="center"/>
        <w:rPr>
          <w:rFonts w:ascii="Times New Roman" w:hAnsi="Times New Roman" w:cs="Times New Roman"/>
          <w:b/>
          <w:sz w:val="24"/>
          <w:szCs w:val="24"/>
        </w:rPr>
      </w:pPr>
    </w:p>
    <w:p w14:paraId="5CA2AAAD" w14:textId="466AAAA1" w:rsidR="008F520D" w:rsidRPr="00765010" w:rsidRDefault="00A53D39" w:rsidP="00A57A5B">
      <w:pPr>
        <w:pStyle w:val="Nagwek4"/>
        <w:spacing w:line="276" w:lineRule="auto"/>
        <w:ind w:left="1418" w:hanging="992"/>
        <w:jc w:val="both"/>
        <w:rPr>
          <w:b w:val="0"/>
        </w:rPr>
      </w:pPr>
      <w:r w:rsidRPr="00765010">
        <w:t>Podstawa prawna:</w:t>
      </w:r>
      <w:r w:rsidR="005C3C0D" w:rsidRPr="00765010">
        <w:t xml:space="preserve"> </w:t>
      </w:r>
      <w:r w:rsidRPr="00765010">
        <w:rPr>
          <w:b w:val="0"/>
        </w:rPr>
        <w:t>art.53a ustawy z dnia 15 kwietnia 2011</w:t>
      </w:r>
      <w:r w:rsidR="002547F5">
        <w:rPr>
          <w:b w:val="0"/>
        </w:rPr>
        <w:t xml:space="preserve"> </w:t>
      </w:r>
      <w:r w:rsidRPr="00765010">
        <w:rPr>
          <w:b w:val="0"/>
        </w:rPr>
        <w:t>r. o działalności leczniczej</w:t>
      </w:r>
      <w:r w:rsidR="005C3C0D" w:rsidRPr="00765010">
        <w:rPr>
          <w:b w:val="0"/>
        </w:rPr>
        <w:t xml:space="preserve"> </w:t>
      </w:r>
      <w:r w:rsidRPr="00765010">
        <w:rPr>
          <w:b w:val="0"/>
        </w:rPr>
        <w:t xml:space="preserve">   </w:t>
      </w:r>
    </w:p>
    <w:p w14:paraId="6C06CC91" w14:textId="371C8838" w:rsidR="00A53D39" w:rsidRPr="00765010" w:rsidRDefault="00A53D39" w:rsidP="008F520D">
      <w:pPr>
        <w:pStyle w:val="Nagwek4"/>
        <w:spacing w:line="276" w:lineRule="auto"/>
        <w:ind w:left="1418" w:hanging="992"/>
        <w:rPr>
          <w:b w:val="0"/>
        </w:rPr>
      </w:pPr>
      <w:r w:rsidRPr="00765010">
        <w:rPr>
          <w:b w:val="0"/>
        </w:rPr>
        <w:t xml:space="preserve">       </w:t>
      </w:r>
      <w:r w:rsidR="008225D3" w:rsidRPr="00765010">
        <w:rPr>
          <w:b w:val="0"/>
        </w:rPr>
        <w:t xml:space="preserve">               (Dz.U</w:t>
      </w:r>
      <w:r w:rsidR="008F520D" w:rsidRPr="00765010">
        <w:rPr>
          <w:b w:val="0"/>
        </w:rPr>
        <w:t>. z 2023 poz. 991</w:t>
      </w:r>
      <w:r w:rsidR="00BA2612" w:rsidRPr="00765010">
        <w:rPr>
          <w:b w:val="0"/>
        </w:rPr>
        <w:t xml:space="preserve"> ze zm.</w:t>
      </w:r>
      <w:r w:rsidRPr="00765010">
        <w:rPr>
          <w:b w:val="0"/>
        </w:rPr>
        <w:t>)</w:t>
      </w:r>
    </w:p>
    <w:p w14:paraId="5BE2C69E" w14:textId="77777777" w:rsidR="001853D3" w:rsidRPr="00765010" w:rsidRDefault="001853D3" w:rsidP="00A57A5B">
      <w:pPr>
        <w:spacing w:after="0"/>
        <w:ind w:left="1418" w:hanging="992"/>
        <w:jc w:val="both"/>
        <w:rPr>
          <w:rFonts w:ascii="Times New Roman" w:hAnsi="Times New Roman" w:cs="Times New Roman"/>
          <w:b/>
          <w:sz w:val="24"/>
          <w:szCs w:val="24"/>
        </w:rPr>
      </w:pPr>
    </w:p>
    <w:p w14:paraId="25EA83A0" w14:textId="0520BFC7" w:rsidR="00FA3BF0" w:rsidRPr="00765010" w:rsidRDefault="004D507A" w:rsidP="00A57A5B">
      <w:pPr>
        <w:spacing w:after="0"/>
        <w:ind w:left="1418" w:hanging="992"/>
        <w:jc w:val="both"/>
        <w:rPr>
          <w:rFonts w:ascii="Times New Roman" w:hAnsi="Times New Roman" w:cs="Times New Roman"/>
          <w:b/>
          <w:sz w:val="24"/>
          <w:szCs w:val="24"/>
          <w:u w:val="single"/>
        </w:rPr>
      </w:pPr>
      <w:r w:rsidRPr="00765010">
        <w:rPr>
          <w:rFonts w:ascii="Times New Roman" w:hAnsi="Times New Roman" w:cs="Times New Roman"/>
          <w:b/>
          <w:sz w:val="24"/>
          <w:szCs w:val="24"/>
          <w:u w:val="single"/>
        </w:rPr>
        <w:t>I</w:t>
      </w:r>
      <w:r w:rsidR="00FA3BF0" w:rsidRPr="00765010">
        <w:rPr>
          <w:rFonts w:ascii="Times New Roman" w:hAnsi="Times New Roman" w:cs="Times New Roman"/>
          <w:b/>
          <w:sz w:val="24"/>
          <w:szCs w:val="24"/>
          <w:u w:val="single"/>
        </w:rPr>
        <w:t xml:space="preserve">. Wybrane informacje o </w:t>
      </w:r>
      <w:r w:rsidR="00B55B7B" w:rsidRPr="00765010">
        <w:rPr>
          <w:rFonts w:ascii="Times New Roman" w:hAnsi="Times New Roman" w:cs="Times New Roman"/>
          <w:b/>
          <w:sz w:val="24"/>
          <w:szCs w:val="24"/>
          <w:u w:val="single"/>
        </w:rPr>
        <w:t>Samodzielnym P</w:t>
      </w:r>
      <w:r w:rsidR="00FA3BF0" w:rsidRPr="00765010">
        <w:rPr>
          <w:rFonts w:ascii="Times New Roman" w:hAnsi="Times New Roman" w:cs="Times New Roman"/>
          <w:b/>
          <w:sz w:val="24"/>
          <w:szCs w:val="24"/>
          <w:u w:val="single"/>
        </w:rPr>
        <w:t>ubli</w:t>
      </w:r>
      <w:r w:rsidR="005F546E" w:rsidRPr="00765010">
        <w:rPr>
          <w:rFonts w:ascii="Times New Roman" w:hAnsi="Times New Roman" w:cs="Times New Roman"/>
          <w:b/>
          <w:sz w:val="24"/>
          <w:szCs w:val="24"/>
          <w:u w:val="single"/>
        </w:rPr>
        <w:t>c</w:t>
      </w:r>
      <w:r w:rsidR="00B55B7B" w:rsidRPr="00765010">
        <w:rPr>
          <w:rFonts w:ascii="Times New Roman" w:hAnsi="Times New Roman" w:cs="Times New Roman"/>
          <w:b/>
          <w:sz w:val="24"/>
          <w:szCs w:val="24"/>
          <w:u w:val="single"/>
        </w:rPr>
        <w:t>znym Z</w:t>
      </w:r>
      <w:r w:rsidR="00FA3BF0" w:rsidRPr="00765010">
        <w:rPr>
          <w:rFonts w:ascii="Times New Roman" w:hAnsi="Times New Roman" w:cs="Times New Roman"/>
          <w:b/>
          <w:sz w:val="24"/>
          <w:szCs w:val="24"/>
          <w:u w:val="single"/>
        </w:rPr>
        <w:t xml:space="preserve">akładzie </w:t>
      </w:r>
      <w:r w:rsidR="00B55B7B" w:rsidRPr="00765010">
        <w:rPr>
          <w:rFonts w:ascii="Times New Roman" w:hAnsi="Times New Roman" w:cs="Times New Roman"/>
          <w:b/>
          <w:sz w:val="24"/>
          <w:szCs w:val="24"/>
          <w:u w:val="single"/>
        </w:rPr>
        <w:t>Opieki Z</w:t>
      </w:r>
      <w:r w:rsidR="005F546E" w:rsidRPr="00765010">
        <w:rPr>
          <w:rFonts w:ascii="Times New Roman" w:hAnsi="Times New Roman" w:cs="Times New Roman"/>
          <w:b/>
          <w:sz w:val="24"/>
          <w:szCs w:val="24"/>
          <w:u w:val="single"/>
        </w:rPr>
        <w:t>drowotnej</w:t>
      </w:r>
    </w:p>
    <w:p w14:paraId="30C85E01" w14:textId="77777777" w:rsidR="00A44FF8" w:rsidRPr="00765010" w:rsidRDefault="00A44FF8" w:rsidP="00A57A5B">
      <w:pPr>
        <w:spacing w:after="0"/>
        <w:ind w:left="1418" w:hanging="992"/>
        <w:jc w:val="both"/>
        <w:rPr>
          <w:rFonts w:ascii="Times New Roman" w:hAnsi="Times New Roman" w:cs="Times New Roman"/>
          <w:b/>
          <w:sz w:val="24"/>
          <w:szCs w:val="24"/>
        </w:rPr>
      </w:pPr>
    </w:p>
    <w:p w14:paraId="11CB0DC7" w14:textId="77777777" w:rsidR="00E50123" w:rsidRPr="00765010" w:rsidRDefault="00E50123" w:rsidP="00A57A5B">
      <w:pPr>
        <w:spacing w:after="0"/>
        <w:ind w:left="1418" w:hanging="992"/>
        <w:jc w:val="both"/>
        <w:rPr>
          <w:rFonts w:ascii="Times New Roman" w:hAnsi="Times New Roman" w:cs="Times New Roman"/>
          <w:b/>
          <w:sz w:val="24"/>
          <w:szCs w:val="24"/>
        </w:rPr>
      </w:pPr>
    </w:p>
    <w:p w14:paraId="35DC54B9" w14:textId="77777777" w:rsidR="00A44FF8" w:rsidRPr="00765010" w:rsidRDefault="005F546E"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 xml:space="preserve">1. </w:t>
      </w:r>
      <w:r w:rsidR="008C36C9" w:rsidRPr="00765010">
        <w:rPr>
          <w:rFonts w:ascii="Times New Roman" w:hAnsi="Times New Roman" w:cs="Times New Roman"/>
          <w:sz w:val="24"/>
          <w:szCs w:val="24"/>
        </w:rPr>
        <w:t>Samodzielny Publiczny Zakład Opieki Zdrowotnej w Sławkowie</w:t>
      </w:r>
    </w:p>
    <w:p w14:paraId="60AB1758" w14:textId="5469EE3D" w:rsidR="00A44FF8" w:rsidRPr="00765010" w:rsidRDefault="00A44FF8"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2. Siedzi</w:t>
      </w:r>
      <w:r w:rsidR="008C36C9" w:rsidRPr="00765010">
        <w:rPr>
          <w:rFonts w:ascii="Times New Roman" w:hAnsi="Times New Roman" w:cs="Times New Roman"/>
          <w:sz w:val="24"/>
          <w:szCs w:val="24"/>
        </w:rPr>
        <w:t xml:space="preserve">ba: ul. PCK 3, </w:t>
      </w:r>
    </w:p>
    <w:p w14:paraId="1EAB7884" w14:textId="3A524A5E" w:rsidR="00A44FF8" w:rsidRPr="00765010" w:rsidRDefault="008C36C9"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3. Adres: 41-260 Sławków ul. PCK 3</w:t>
      </w:r>
      <w:r w:rsidR="00ED66E9" w:rsidRPr="00765010">
        <w:rPr>
          <w:rFonts w:ascii="Times New Roman" w:hAnsi="Times New Roman" w:cs="Times New Roman"/>
          <w:sz w:val="24"/>
          <w:szCs w:val="24"/>
        </w:rPr>
        <w:t>,</w:t>
      </w:r>
    </w:p>
    <w:p w14:paraId="333B28DC" w14:textId="7EE575CB" w:rsidR="00A44FF8" w:rsidRPr="00765010" w:rsidRDefault="00A44FF8"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4. Numer  telefonu</w:t>
      </w:r>
      <w:r w:rsidR="008C36C9" w:rsidRPr="00765010">
        <w:rPr>
          <w:rFonts w:ascii="Times New Roman" w:hAnsi="Times New Roman" w:cs="Times New Roman"/>
          <w:sz w:val="24"/>
          <w:szCs w:val="24"/>
        </w:rPr>
        <w:t xml:space="preserve">: </w:t>
      </w:r>
      <w:r w:rsidR="008F520D" w:rsidRPr="00765010">
        <w:rPr>
          <w:rFonts w:ascii="Times New Roman" w:hAnsi="Times New Roman" w:cs="Times New Roman"/>
          <w:sz w:val="24"/>
          <w:szCs w:val="24"/>
        </w:rPr>
        <w:t xml:space="preserve">(32) </w:t>
      </w:r>
      <w:r w:rsidR="008C36C9" w:rsidRPr="00765010">
        <w:rPr>
          <w:rFonts w:ascii="Times New Roman" w:hAnsi="Times New Roman" w:cs="Times New Roman"/>
          <w:sz w:val="24"/>
          <w:szCs w:val="24"/>
        </w:rPr>
        <w:t xml:space="preserve">29-31-003, </w:t>
      </w:r>
      <w:r w:rsidRPr="00765010">
        <w:rPr>
          <w:rFonts w:ascii="Times New Roman" w:hAnsi="Times New Roman" w:cs="Times New Roman"/>
          <w:sz w:val="24"/>
          <w:szCs w:val="24"/>
        </w:rPr>
        <w:t xml:space="preserve"> adres po</w:t>
      </w:r>
      <w:r w:rsidR="008C36C9" w:rsidRPr="00765010">
        <w:rPr>
          <w:rFonts w:ascii="Times New Roman" w:hAnsi="Times New Roman" w:cs="Times New Roman"/>
          <w:sz w:val="24"/>
          <w:szCs w:val="24"/>
        </w:rPr>
        <w:t>czty elektronicznej:</w:t>
      </w:r>
      <w:r w:rsidR="00AB4A47" w:rsidRPr="00765010">
        <w:rPr>
          <w:rFonts w:ascii="Times New Roman" w:hAnsi="Times New Roman" w:cs="Times New Roman"/>
          <w:sz w:val="24"/>
          <w:szCs w:val="24"/>
        </w:rPr>
        <w:t>ksiegowosc@spzoz-slawkow.pl</w:t>
      </w:r>
    </w:p>
    <w:p w14:paraId="7F9B4FA4" w14:textId="01FBD9E6" w:rsidR="00A44FF8" w:rsidRPr="00765010" w:rsidRDefault="008C36C9"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5. Numer identyfikacyjny: NIP: 637-19-43-704</w:t>
      </w:r>
      <w:r w:rsidR="00ED66E9" w:rsidRPr="00765010">
        <w:rPr>
          <w:rFonts w:ascii="Times New Roman" w:hAnsi="Times New Roman" w:cs="Times New Roman"/>
          <w:sz w:val="24"/>
          <w:szCs w:val="24"/>
        </w:rPr>
        <w:t>,</w:t>
      </w:r>
    </w:p>
    <w:p w14:paraId="044B50FA" w14:textId="43E4F291" w:rsidR="00A44FF8" w:rsidRPr="00765010" w:rsidRDefault="00A44FF8" w:rsidP="00A57A5B">
      <w:pPr>
        <w:spacing w:after="0"/>
        <w:ind w:left="1418" w:hanging="992"/>
        <w:jc w:val="both"/>
        <w:rPr>
          <w:rFonts w:ascii="Times New Roman" w:hAnsi="Times New Roman" w:cs="Times New Roman"/>
          <w:sz w:val="24"/>
          <w:szCs w:val="24"/>
        </w:rPr>
      </w:pPr>
      <w:r w:rsidRPr="00765010">
        <w:rPr>
          <w:rFonts w:ascii="Times New Roman" w:hAnsi="Times New Roman" w:cs="Times New Roman"/>
          <w:sz w:val="24"/>
          <w:szCs w:val="24"/>
        </w:rPr>
        <w:t>6. Numer w Krajowym Re</w:t>
      </w:r>
      <w:r w:rsidR="008C36C9" w:rsidRPr="00765010">
        <w:rPr>
          <w:rFonts w:ascii="Times New Roman" w:hAnsi="Times New Roman" w:cs="Times New Roman"/>
          <w:sz w:val="24"/>
          <w:szCs w:val="24"/>
        </w:rPr>
        <w:t>jestrze Sądowym:</w:t>
      </w:r>
      <w:r w:rsidR="002547F5">
        <w:rPr>
          <w:rFonts w:ascii="Times New Roman" w:hAnsi="Times New Roman" w:cs="Times New Roman"/>
          <w:sz w:val="24"/>
          <w:szCs w:val="24"/>
        </w:rPr>
        <w:t xml:space="preserve"> </w:t>
      </w:r>
      <w:r w:rsidR="008C36C9" w:rsidRPr="00765010">
        <w:rPr>
          <w:rFonts w:ascii="Times New Roman" w:hAnsi="Times New Roman" w:cs="Times New Roman"/>
          <w:sz w:val="24"/>
          <w:szCs w:val="24"/>
        </w:rPr>
        <w:t>0000003414</w:t>
      </w:r>
      <w:r w:rsidR="00ED66E9" w:rsidRPr="00765010">
        <w:rPr>
          <w:rFonts w:ascii="Times New Roman" w:hAnsi="Times New Roman" w:cs="Times New Roman"/>
          <w:sz w:val="24"/>
          <w:szCs w:val="24"/>
        </w:rPr>
        <w:t>,</w:t>
      </w:r>
    </w:p>
    <w:p w14:paraId="586E26D0" w14:textId="70A58688" w:rsidR="00E50123" w:rsidRPr="00765010" w:rsidRDefault="00A44FF8" w:rsidP="00A57A5B">
      <w:pPr>
        <w:spacing w:after="0"/>
        <w:ind w:left="709" w:hanging="283"/>
        <w:jc w:val="both"/>
        <w:rPr>
          <w:rFonts w:ascii="Times New Roman" w:hAnsi="Times New Roman" w:cs="Times New Roman"/>
          <w:sz w:val="24"/>
          <w:szCs w:val="24"/>
        </w:rPr>
      </w:pPr>
      <w:r w:rsidRPr="00765010">
        <w:rPr>
          <w:rFonts w:ascii="Times New Roman" w:hAnsi="Times New Roman" w:cs="Times New Roman"/>
          <w:sz w:val="24"/>
          <w:szCs w:val="24"/>
        </w:rPr>
        <w:t>7. Data wpisu</w:t>
      </w:r>
      <w:r w:rsidR="00B55B7B" w:rsidRPr="00765010">
        <w:rPr>
          <w:rFonts w:ascii="Times New Roman" w:hAnsi="Times New Roman" w:cs="Times New Roman"/>
          <w:sz w:val="24"/>
          <w:szCs w:val="24"/>
        </w:rPr>
        <w:t>: 22.02.2001</w:t>
      </w:r>
      <w:r w:rsidR="002547F5">
        <w:rPr>
          <w:rFonts w:ascii="Times New Roman" w:hAnsi="Times New Roman" w:cs="Times New Roman"/>
          <w:sz w:val="24"/>
          <w:szCs w:val="24"/>
        </w:rPr>
        <w:t xml:space="preserve"> </w:t>
      </w:r>
      <w:r w:rsidR="00B55B7B" w:rsidRPr="00765010">
        <w:rPr>
          <w:rFonts w:ascii="Times New Roman" w:hAnsi="Times New Roman" w:cs="Times New Roman"/>
          <w:sz w:val="24"/>
          <w:szCs w:val="24"/>
        </w:rPr>
        <w:t>r</w:t>
      </w:r>
      <w:r w:rsidR="002547F5">
        <w:rPr>
          <w:rFonts w:ascii="Times New Roman" w:hAnsi="Times New Roman" w:cs="Times New Roman"/>
          <w:sz w:val="24"/>
          <w:szCs w:val="24"/>
        </w:rPr>
        <w:t>.</w:t>
      </w:r>
      <w:r w:rsidR="00DE3989">
        <w:rPr>
          <w:rFonts w:ascii="Times New Roman" w:hAnsi="Times New Roman" w:cs="Times New Roman"/>
          <w:sz w:val="24"/>
          <w:szCs w:val="24"/>
        </w:rPr>
        <w:t>,</w:t>
      </w:r>
      <w:r w:rsidR="00B55B7B" w:rsidRPr="00765010">
        <w:rPr>
          <w:rFonts w:ascii="Times New Roman" w:hAnsi="Times New Roman" w:cs="Times New Roman"/>
          <w:sz w:val="24"/>
          <w:szCs w:val="24"/>
        </w:rPr>
        <w:t xml:space="preserve"> </w:t>
      </w:r>
      <w:r w:rsidRPr="00765010">
        <w:rPr>
          <w:rFonts w:ascii="Times New Roman" w:hAnsi="Times New Roman" w:cs="Times New Roman"/>
          <w:sz w:val="24"/>
          <w:szCs w:val="24"/>
        </w:rPr>
        <w:t xml:space="preserve"> numer rejestru podmiotów wykonujących działalnoś</w:t>
      </w:r>
      <w:r w:rsidR="005E7701" w:rsidRPr="00765010">
        <w:rPr>
          <w:rFonts w:ascii="Times New Roman" w:hAnsi="Times New Roman" w:cs="Times New Roman"/>
          <w:sz w:val="24"/>
          <w:szCs w:val="24"/>
        </w:rPr>
        <w:t xml:space="preserve">ć </w:t>
      </w:r>
      <w:r w:rsidR="008C36C9" w:rsidRPr="00765010">
        <w:rPr>
          <w:rFonts w:ascii="Times New Roman" w:hAnsi="Times New Roman" w:cs="Times New Roman"/>
          <w:sz w:val="24"/>
          <w:szCs w:val="24"/>
        </w:rPr>
        <w:t>leczniczą:</w:t>
      </w:r>
      <w:r w:rsidR="002547F5">
        <w:rPr>
          <w:rFonts w:ascii="Times New Roman" w:hAnsi="Times New Roman" w:cs="Times New Roman"/>
          <w:sz w:val="24"/>
          <w:szCs w:val="24"/>
        </w:rPr>
        <w:t xml:space="preserve"> </w:t>
      </w:r>
      <w:r w:rsidR="008C36C9" w:rsidRPr="00765010">
        <w:rPr>
          <w:rFonts w:ascii="Times New Roman" w:hAnsi="Times New Roman" w:cs="Times New Roman"/>
          <w:sz w:val="24"/>
          <w:szCs w:val="24"/>
        </w:rPr>
        <w:t>000000014071</w:t>
      </w:r>
    </w:p>
    <w:p w14:paraId="14D3E8E9" w14:textId="5ABCD7B9" w:rsidR="0047283E" w:rsidRDefault="004D507A" w:rsidP="00A57A5B">
      <w:pPr>
        <w:spacing w:after="0"/>
        <w:ind w:left="1418" w:hanging="992"/>
        <w:jc w:val="both"/>
        <w:rPr>
          <w:rFonts w:ascii="Times New Roman" w:hAnsi="Times New Roman" w:cs="Times New Roman"/>
          <w:b/>
          <w:color w:val="000000" w:themeColor="text1"/>
          <w:kern w:val="24"/>
          <w:sz w:val="24"/>
          <w:szCs w:val="24"/>
          <w:u w:val="single"/>
        </w:rPr>
      </w:pPr>
      <w:r w:rsidRPr="00765010">
        <w:rPr>
          <w:rFonts w:ascii="Times New Roman" w:hAnsi="Times New Roman" w:cs="Times New Roman"/>
          <w:b/>
          <w:color w:val="000000" w:themeColor="text1"/>
          <w:kern w:val="24"/>
          <w:sz w:val="24"/>
          <w:szCs w:val="24"/>
          <w:u w:val="single"/>
        </w:rPr>
        <w:t>II. Analiza sytuacji ekonomiczno-finansowej</w:t>
      </w:r>
      <w:r w:rsidR="00B55B7B" w:rsidRPr="00765010">
        <w:rPr>
          <w:rFonts w:ascii="Times New Roman" w:hAnsi="Times New Roman" w:cs="Times New Roman"/>
          <w:b/>
          <w:color w:val="000000" w:themeColor="text1"/>
          <w:kern w:val="24"/>
          <w:sz w:val="24"/>
          <w:szCs w:val="24"/>
          <w:u w:val="single"/>
        </w:rPr>
        <w:t xml:space="preserve"> SPZOZ Sławków</w:t>
      </w:r>
      <w:r w:rsidRPr="00765010">
        <w:rPr>
          <w:rFonts w:ascii="Times New Roman" w:hAnsi="Times New Roman" w:cs="Times New Roman"/>
          <w:b/>
          <w:color w:val="000000" w:themeColor="text1"/>
          <w:kern w:val="24"/>
          <w:sz w:val="24"/>
          <w:szCs w:val="24"/>
          <w:u w:val="single"/>
        </w:rPr>
        <w:t xml:space="preserve"> za</w:t>
      </w:r>
      <w:r w:rsidR="00536620" w:rsidRPr="00765010">
        <w:rPr>
          <w:rFonts w:ascii="Times New Roman" w:hAnsi="Times New Roman" w:cs="Times New Roman"/>
          <w:b/>
          <w:color w:val="000000" w:themeColor="text1"/>
          <w:kern w:val="24"/>
          <w:sz w:val="24"/>
          <w:szCs w:val="24"/>
          <w:u w:val="single"/>
        </w:rPr>
        <w:t xml:space="preserve"> 2</w:t>
      </w:r>
      <w:r w:rsidR="00250357" w:rsidRPr="00765010">
        <w:rPr>
          <w:rFonts w:ascii="Times New Roman" w:hAnsi="Times New Roman" w:cs="Times New Roman"/>
          <w:b/>
          <w:color w:val="000000" w:themeColor="text1"/>
          <w:kern w:val="24"/>
          <w:sz w:val="24"/>
          <w:szCs w:val="24"/>
          <w:u w:val="single"/>
        </w:rPr>
        <w:t>02</w:t>
      </w:r>
      <w:r w:rsidR="008F520D" w:rsidRPr="00765010">
        <w:rPr>
          <w:rFonts w:ascii="Times New Roman" w:hAnsi="Times New Roman" w:cs="Times New Roman"/>
          <w:b/>
          <w:color w:val="000000" w:themeColor="text1"/>
          <w:kern w:val="24"/>
          <w:sz w:val="24"/>
          <w:szCs w:val="24"/>
          <w:u w:val="single"/>
        </w:rPr>
        <w:t>3</w:t>
      </w:r>
      <w:r w:rsidR="00250357" w:rsidRPr="00765010">
        <w:rPr>
          <w:rFonts w:ascii="Times New Roman" w:hAnsi="Times New Roman" w:cs="Times New Roman"/>
          <w:b/>
          <w:color w:val="000000" w:themeColor="text1"/>
          <w:kern w:val="24"/>
          <w:sz w:val="24"/>
          <w:szCs w:val="24"/>
          <w:u w:val="single"/>
        </w:rPr>
        <w:t xml:space="preserve">rok </w:t>
      </w:r>
    </w:p>
    <w:p w14:paraId="4343D286" w14:textId="77777777" w:rsidR="002547F5" w:rsidRPr="00765010" w:rsidRDefault="002547F5" w:rsidP="00A57A5B">
      <w:pPr>
        <w:spacing w:after="0"/>
        <w:ind w:left="1418" w:hanging="992"/>
        <w:jc w:val="both"/>
        <w:rPr>
          <w:rFonts w:ascii="Times New Roman" w:hAnsi="Times New Roman" w:cs="Times New Roman"/>
          <w:color w:val="000000" w:themeColor="text1"/>
          <w:kern w:val="24"/>
          <w:sz w:val="24"/>
          <w:szCs w:val="24"/>
          <w:u w:val="single"/>
        </w:rPr>
      </w:pPr>
    </w:p>
    <w:p w14:paraId="4744F645" w14:textId="114A37D4" w:rsidR="00536620" w:rsidRPr="00765010" w:rsidRDefault="00C74A67" w:rsidP="002547F5">
      <w:pPr>
        <w:pStyle w:val="Akapitzlist"/>
        <w:numPr>
          <w:ilvl w:val="0"/>
          <w:numId w:val="16"/>
        </w:numPr>
        <w:spacing w:line="276" w:lineRule="auto"/>
        <w:jc w:val="both"/>
        <w:rPr>
          <w:color w:val="000000" w:themeColor="text1"/>
          <w:kern w:val="24"/>
        </w:rPr>
      </w:pPr>
      <w:r w:rsidRPr="00765010">
        <w:rPr>
          <w:color w:val="000000" w:themeColor="text1"/>
          <w:kern w:val="24"/>
        </w:rPr>
        <w:t>Ocena</w:t>
      </w:r>
      <w:r w:rsidR="009825A9" w:rsidRPr="00765010">
        <w:rPr>
          <w:color w:val="000000" w:themeColor="text1"/>
          <w:kern w:val="24"/>
        </w:rPr>
        <w:t xml:space="preserve"> sytuacji ekonomiczno-finansowej</w:t>
      </w:r>
      <w:r w:rsidR="008F520D" w:rsidRPr="00765010">
        <w:rPr>
          <w:color w:val="000000" w:themeColor="text1"/>
          <w:kern w:val="24"/>
        </w:rPr>
        <w:t xml:space="preserve"> Samodzielnego Publicznego Zakładu Opieki Zdrowotnej w Sławkowie </w:t>
      </w:r>
      <w:r w:rsidR="009825A9" w:rsidRPr="00765010">
        <w:rPr>
          <w:color w:val="000000" w:themeColor="text1"/>
          <w:kern w:val="24"/>
        </w:rPr>
        <w:t xml:space="preserve"> </w:t>
      </w:r>
      <w:r w:rsidR="00820F7E" w:rsidRPr="00765010">
        <w:rPr>
          <w:color w:val="000000" w:themeColor="text1"/>
          <w:kern w:val="24"/>
        </w:rPr>
        <w:t xml:space="preserve"> została opracowana w oparciu o teorię</w:t>
      </w:r>
      <w:r w:rsidR="00A825DE" w:rsidRPr="00765010">
        <w:rPr>
          <w:color w:val="000000" w:themeColor="text1"/>
          <w:kern w:val="24"/>
        </w:rPr>
        <w:t xml:space="preserve">  </w:t>
      </w:r>
      <w:r w:rsidR="008F520D" w:rsidRPr="00765010">
        <w:rPr>
          <w:color w:val="000000" w:themeColor="text1"/>
          <w:kern w:val="24"/>
        </w:rPr>
        <w:t>i</w:t>
      </w:r>
      <w:r w:rsidR="00820F7E" w:rsidRPr="00765010">
        <w:rPr>
          <w:color w:val="000000" w:themeColor="text1"/>
          <w:kern w:val="24"/>
        </w:rPr>
        <w:t xml:space="preserve"> zas</w:t>
      </w:r>
      <w:r w:rsidR="009825A9" w:rsidRPr="00765010">
        <w:rPr>
          <w:color w:val="000000" w:themeColor="text1"/>
          <w:kern w:val="24"/>
        </w:rPr>
        <w:t>ady analizy wskaźnikowej, dostos</w:t>
      </w:r>
      <w:r w:rsidR="00820F7E" w:rsidRPr="00765010">
        <w:rPr>
          <w:color w:val="000000" w:themeColor="text1"/>
          <w:kern w:val="24"/>
        </w:rPr>
        <w:t>owan</w:t>
      </w:r>
      <w:r w:rsidR="00877601" w:rsidRPr="00765010">
        <w:rPr>
          <w:color w:val="000000" w:themeColor="text1"/>
          <w:kern w:val="24"/>
        </w:rPr>
        <w:t>ej</w:t>
      </w:r>
      <w:r w:rsidR="00820F7E" w:rsidRPr="00765010">
        <w:rPr>
          <w:color w:val="000000" w:themeColor="text1"/>
          <w:kern w:val="24"/>
        </w:rPr>
        <w:t xml:space="preserve"> do warunków i s</w:t>
      </w:r>
      <w:r w:rsidR="009825A9" w:rsidRPr="00765010">
        <w:rPr>
          <w:color w:val="000000" w:themeColor="text1"/>
          <w:kern w:val="24"/>
        </w:rPr>
        <w:t>pecyfiki sektora ochrony zdrowia.</w:t>
      </w:r>
    </w:p>
    <w:p w14:paraId="71024A5D" w14:textId="6C641F8C" w:rsidR="009825A9" w:rsidRPr="00765010" w:rsidRDefault="008C36C9" w:rsidP="002547F5">
      <w:pPr>
        <w:pStyle w:val="Akapitzlist"/>
        <w:numPr>
          <w:ilvl w:val="0"/>
          <w:numId w:val="16"/>
        </w:numPr>
        <w:spacing w:line="276" w:lineRule="auto"/>
        <w:jc w:val="both"/>
        <w:rPr>
          <w:color w:val="000000" w:themeColor="text1"/>
          <w:kern w:val="24"/>
        </w:rPr>
      </w:pPr>
      <w:r w:rsidRPr="00765010">
        <w:rPr>
          <w:color w:val="000000" w:themeColor="text1"/>
          <w:kern w:val="24"/>
        </w:rPr>
        <w:t xml:space="preserve">Raport </w:t>
      </w:r>
      <w:r w:rsidR="005E7CCF" w:rsidRPr="00765010">
        <w:rPr>
          <w:color w:val="000000" w:themeColor="text1"/>
          <w:kern w:val="24"/>
        </w:rPr>
        <w:t xml:space="preserve">sporządzono zgodnie z </w:t>
      </w:r>
      <w:r w:rsidR="009825A9" w:rsidRPr="00765010">
        <w:rPr>
          <w:color w:val="000000" w:themeColor="text1"/>
          <w:kern w:val="24"/>
        </w:rPr>
        <w:t>Rozporządzeni</w:t>
      </w:r>
      <w:r w:rsidR="00D97DF0" w:rsidRPr="00765010">
        <w:rPr>
          <w:color w:val="000000" w:themeColor="text1"/>
          <w:kern w:val="24"/>
        </w:rPr>
        <w:t>em</w:t>
      </w:r>
      <w:r w:rsidR="005E7CCF" w:rsidRPr="00765010">
        <w:rPr>
          <w:color w:val="000000" w:themeColor="text1"/>
          <w:kern w:val="24"/>
        </w:rPr>
        <w:t xml:space="preserve"> </w:t>
      </w:r>
      <w:r w:rsidR="009825A9" w:rsidRPr="00765010">
        <w:rPr>
          <w:color w:val="000000" w:themeColor="text1"/>
          <w:kern w:val="24"/>
        </w:rPr>
        <w:t xml:space="preserve">Ministra Zdrowia z dnia </w:t>
      </w:r>
      <w:r w:rsidR="00536620" w:rsidRPr="00765010">
        <w:rPr>
          <w:color w:val="000000" w:themeColor="text1"/>
          <w:kern w:val="24"/>
        </w:rPr>
        <w:t>12</w:t>
      </w:r>
      <w:r w:rsidR="009825A9" w:rsidRPr="00765010">
        <w:rPr>
          <w:color w:val="000000" w:themeColor="text1"/>
          <w:kern w:val="24"/>
        </w:rPr>
        <w:t xml:space="preserve"> kwietnia 2017 roku </w:t>
      </w:r>
      <w:r w:rsidR="006655BD" w:rsidRPr="00765010">
        <w:rPr>
          <w:color w:val="000000" w:themeColor="text1"/>
          <w:kern w:val="24"/>
        </w:rPr>
        <w:br/>
      </w:r>
      <w:r w:rsidR="009825A9" w:rsidRPr="00765010">
        <w:rPr>
          <w:color w:val="000000" w:themeColor="text1"/>
          <w:kern w:val="24"/>
        </w:rPr>
        <w:t xml:space="preserve">w sprawie wskaźników ekonomiczno-finansowych niezbędnych do sporządzenia analizy oraz prognozy sytuacji ekonomiczno-finansowej samodzielnych publicznych zakładów opieki zdrowotnej. </w:t>
      </w:r>
    </w:p>
    <w:p w14:paraId="34FA400D" w14:textId="77777777" w:rsidR="008F520D" w:rsidRPr="00765010" w:rsidRDefault="005E7CCF" w:rsidP="002547F5">
      <w:pPr>
        <w:pStyle w:val="Akapitzlist"/>
        <w:numPr>
          <w:ilvl w:val="0"/>
          <w:numId w:val="16"/>
        </w:numPr>
        <w:spacing w:line="276" w:lineRule="auto"/>
        <w:jc w:val="both"/>
        <w:rPr>
          <w:color w:val="000000" w:themeColor="text1"/>
          <w:kern w:val="24"/>
        </w:rPr>
      </w:pPr>
      <w:r w:rsidRPr="00765010">
        <w:rPr>
          <w:color w:val="000000" w:themeColor="text1"/>
          <w:kern w:val="24"/>
        </w:rPr>
        <w:t>Analizę sytuacj</w:t>
      </w:r>
      <w:r w:rsidR="008C36C9" w:rsidRPr="00765010">
        <w:rPr>
          <w:color w:val="000000" w:themeColor="text1"/>
          <w:kern w:val="24"/>
        </w:rPr>
        <w:t>i ekonomiczno-finansowej za 2</w:t>
      </w:r>
      <w:r w:rsidR="00250357" w:rsidRPr="00765010">
        <w:rPr>
          <w:color w:val="000000" w:themeColor="text1"/>
          <w:kern w:val="24"/>
        </w:rPr>
        <w:t>02</w:t>
      </w:r>
      <w:r w:rsidR="008F520D" w:rsidRPr="00765010">
        <w:rPr>
          <w:color w:val="000000" w:themeColor="text1"/>
          <w:kern w:val="24"/>
        </w:rPr>
        <w:t>3</w:t>
      </w:r>
      <w:r w:rsidRPr="00765010">
        <w:rPr>
          <w:color w:val="000000" w:themeColor="text1"/>
          <w:kern w:val="24"/>
        </w:rPr>
        <w:t xml:space="preserve"> rok przeprowadzono w oparciu</w:t>
      </w:r>
      <w:r w:rsidR="00B55B7B" w:rsidRPr="00765010">
        <w:rPr>
          <w:color w:val="000000" w:themeColor="text1"/>
          <w:kern w:val="24"/>
        </w:rPr>
        <w:t xml:space="preserve"> </w:t>
      </w:r>
      <w:r w:rsidRPr="00765010">
        <w:rPr>
          <w:color w:val="000000" w:themeColor="text1"/>
          <w:kern w:val="24"/>
        </w:rPr>
        <w:t xml:space="preserve">o punktowe oceny przypisane poszczególnym </w:t>
      </w:r>
      <w:r w:rsidR="0075192A" w:rsidRPr="00765010">
        <w:rPr>
          <w:color w:val="000000" w:themeColor="text1"/>
          <w:kern w:val="24"/>
        </w:rPr>
        <w:t xml:space="preserve">wskaźnikom wyliczonym zgodnie ze sposobem określonym </w:t>
      </w:r>
      <w:r w:rsidR="008C36C9" w:rsidRPr="00765010">
        <w:rPr>
          <w:color w:val="000000" w:themeColor="text1"/>
          <w:kern w:val="24"/>
        </w:rPr>
        <w:t xml:space="preserve"> </w:t>
      </w:r>
    </w:p>
    <w:p w14:paraId="269E5CE9" w14:textId="49FAB542" w:rsidR="004858FA" w:rsidRPr="00765010" w:rsidRDefault="008C36C9" w:rsidP="002547F5">
      <w:pPr>
        <w:pStyle w:val="Akapitzlist"/>
        <w:spacing w:line="276" w:lineRule="auto"/>
        <w:jc w:val="both"/>
        <w:rPr>
          <w:color w:val="000000" w:themeColor="text1"/>
          <w:kern w:val="24"/>
        </w:rPr>
        <w:sectPr w:rsidR="004858FA" w:rsidRPr="00765010" w:rsidSect="00FB4D09">
          <w:headerReference w:type="even" r:id="rId8"/>
          <w:headerReference w:type="default" r:id="rId9"/>
          <w:footerReference w:type="even" r:id="rId10"/>
          <w:footerReference w:type="default" r:id="rId11"/>
          <w:headerReference w:type="first" r:id="rId12"/>
          <w:footerReference w:type="first" r:id="rId13"/>
          <w:type w:val="continuous"/>
          <w:pgSz w:w="11906" w:h="16838"/>
          <w:pgMar w:top="142" w:right="1417" w:bottom="284" w:left="284" w:header="708" w:footer="708" w:gutter="0"/>
          <w:cols w:space="708"/>
          <w:docGrid w:linePitch="360"/>
        </w:sectPr>
      </w:pPr>
      <w:r w:rsidRPr="00765010">
        <w:rPr>
          <w:color w:val="000000" w:themeColor="text1"/>
          <w:kern w:val="24"/>
        </w:rPr>
        <w:t xml:space="preserve">w wyżej wymienionym </w:t>
      </w:r>
      <w:r w:rsidR="0075192A" w:rsidRPr="00765010">
        <w:rPr>
          <w:color w:val="000000" w:themeColor="text1"/>
          <w:kern w:val="24"/>
        </w:rPr>
        <w:t>rozporządzeniu</w:t>
      </w:r>
      <w:r w:rsidR="005E7CCF" w:rsidRPr="00765010">
        <w:rPr>
          <w:color w:val="000000" w:themeColor="text1"/>
          <w:kern w:val="24"/>
        </w:rPr>
        <w:t>.</w:t>
      </w:r>
    </w:p>
    <w:p w14:paraId="245F24CC" w14:textId="77777777" w:rsidR="00955FD5" w:rsidRPr="00765010" w:rsidRDefault="00955FD5" w:rsidP="002547F5">
      <w:pPr>
        <w:jc w:val="both"/>
        <w:rPr>
          <w:rFonts w:ascii="Times New Roman" w:hAnsi="Times New Roman" w:cs="Times New Roman"/>
          <w:iCs/>
          <w:color w:val="000000" w:themeColor="text1"/>
          <w:kern w:val="24"/>
          <w:sz w:val="24"/>
          <w:szCs w:val="24"/>
        </w:rPr>
      </w:pPr>
    </w:p>
    <w:p w14:paraId="311CF32C" w14:textId="4BCEB3A7" w:rsidR="00536620" w:rsidRPr="00765010" w:rsidRDefault="0089742A" w:rsidP="002547F5">
      <w:pPr>
        <w:pStyle w:val="Akapitzlist"/>
        <w:numPr>
          <w:ilvl w:val="0"/>
          <w:numId w:val="16"/>
        </w:numPr>
        <w:spacing w:line="276" w:lineRule="auto"/>
        <w:ind w:left="284" w:hanging="284"/>
        <w:jc w:val="both"/>
        <w:rPr>
          <w:iCs/>
          <w:color w:val="000000" w:themeColor="text1"/>
          <w:kern w:val="24"/>
        </w:rPr>
      </w:pPr>
      <w:r w:rsidRPr="00765010">
        <w:rPr>
          <w:iCs/>
          <w:color w:val="000000" w:themeColor="text1"/>
          <w:kern w:val="24"/>
        </w:rPr>
        <w:t>Raport został przygotowany na podstawie sprawozdania finansowego</w:t>
      </w:r>
      <w:r w:rsidR="00D051F8" w:rsidRPr="00765010">
        <w:rPr>
          <w:iCs/>
          <w:color w:val="000000" w:themeColor="text1"/>
          <w:kern w:val="24"/>
        </w:rPr>
        <w:t xml:space="preserve"> SPZOZ Sławków </w:t>
      </w:r>
      <w:r w:rsidRPr="00765010">
        <w:rPr>
          <w:iCs/>
          <w:color w:val="000000" w:themeColor="text1"/>
          <w:kern w:val="24"/>
        </w:rPr>
        <w:t xml:space="preserve"> za </w:t>
      </w:r>
      <w:r w:rsidR="00250357" w:rsidRPr="00765010">
        <w:rPr>
          <w:iCs/>
          <w:color w:val="000000" w:themeColor="text1"/>
          <w:kern w:val="24"/>
        </w:rPr>
        <w:t>202</w:t>
      </w:r>
      <w:r w:rsidR="008F520D" w:rsidRPr="00765010">
        <w:rPr>
          <w:iCs/>
          <w:color w:val="000000" w:themeColor="text1"/>
          <w:kern w:val="24"/>
        </w:rPr>
        <w:t>3</w:t>
      </w:r>
      <w:r w:rsidR="00F05AB8" w:rsidRPr="00765010">
        <w:rPr>
          <w:iCs/>
          <w:color w:val="000000" w:themeColor="text1"/>
          <w:kern w:val="24"/>
        </w:rPr>
        <w:t xml:space="preserve"> </w:t>
      </w:r>
      <w:r w:rsidRPr="00765010">
        <w:rPr>
          <w:iCs/>
          <w:color w:val="000000" w:themeColor="text1"/>
          <w:kern w:val="24"/>
        </w:rPr>
        <w:t>r i zawiera zgodnie z art. 53a ustawy o działalności leczniczej</w:t>
      </w:r>
      <w:r w:rsidR="002547F5">
        <w:rPr>
          <w:iCs/>
          <w:color w:val="000000" w:themeColor="text1"/>
          <w:kern w:val="24"/>
        </w:rPr>
        <w:t xml:space="preserve"> </w:t>
      </w:r>
      <w:r w:rsidRPr="00765010">
        <w:rPr>
          <w:iCs/>
          <w:color w:val="000000" w:themeColor="text1"/>
          <w:kern w:val="24"/>
        </w:rPr>
        <w:t>analizę sytuacji ekonomiczno</w:t>
      </w:r>
      <w:r w:rsidR="00D051F8" w:rsidRPr="00765010">
        <w:rPr>
          <w:iCs/>
          <w:color w:val="000000" w:themeColor="text1"/>
          <w:kern w:val="24"/>
        </w:rPr>
        <w:t>-</w:t>
      </w:r>
      <w:r w:rsidRPr="00765010">
        <w:rPr>
          <w:iCs/>
          <w:color w:val="000000" w:themeColor="text1"/>
          <w:kern w:val="24"/>
        </w:rPr>
        <w:t xml:space="preserve"> finansowej za poprzedni rok obrotowy</w:t>
      </w:r>
      <w:r w:rsidR="008F520D" w:rsidRPr="00765010">
        <w:rPr>
          <w:iCs/>
          <w:color w:val="000000" w:themeColor="text1"/>
          <w:kern w:val="24"/>
        </w:rPr>
        <w:t xml:space="preserve"> tj. 2023</w:t>
      </w:r>
      <w:r w:rsidR="002547F5">
        <w:rPr>
          <w:iCs/>
          <w:color w:val="000000" w:themeColor="text1"/>
          <w:kern w:val="24"/>
        </w:rPr>
        <w:t xml:space="preserve"> r.</w:t>
      </w:r>
      <w:r w:rsidRPr="00765010">
        <w:rPr>
          <w:iCs/>
          <w:color w:val="000000" w:themeColor="text1"/>
          <w:kern w:val="24"/>
        </w:rPr>
        <w:t xml:space="preserve"> oraz prognozę sytuacji ekonomiczno</w:t>
      </w:r>
      <w:r w:rsidR="00D051F8" w:rsidRPr="00765010">
        <w:rPr>
          <w:iCs/>
          <w:color w:val="000000" w:themeColor="text1"/>
          <w:kern w:val="24"/>
        </w:rPr>
        <w:t>-</w:t>
      </w:r>
      <w:r w:rsidRPr="00765010">
        <w:rPr>
          <w:iCs/>
          <w:color w:val="000000" w:themeColor="text1"/>
          <w:kern w:val="24"/>
        </w:rPr>
        <w:t xml:space="preserve"> finansowej na kolejne trzy lata obrotowe</w:t>
      </w:r>
      <w:r w:rsidR="002547F5">
        <w:rPr>
          <w:iCs/>
          <w:color w:val="000000" w:themeColor="text1"/>
          <w:kern w:val="24"/>
        </w:rPr>
        <w:t xml:space="preserve">                 </w:t>
      </w:r>
      <w:r w:rsidRPr="00765010">
        <w:rPr>
          <w:iCs/>
          <w:color w:val="000000" w:themeColor="text1"/>
          <w:kern w:val="24"/>
        </w:rPr>
        <w:t xml:space="preserve"> tj. </w:t>
      </w:r>
      <w:r w:rsidR="00536620" w:rsidRPr="00765010">
        <w:rPr>
          <w:iCs/>
          <w:color w:val="000000" w:themeColor="text1"/>
          <w:kern w:val="24"/>
        </w:rPr>
        <w:t>202</w:t>
      </w:r>
      <w:r w:rsidR="008F520D" w:rsidRPr="00765010">
        <w:rPr>
          <w:iCs/>
          <w:color w:val="000000" w:themeColor="text1"/>
          <w:kern w:val="24"/>
        </w:rPr>
        <w:t>4</w:t>
      </w:r>
      <w:r w:rsidR="00536620" w:rsidRPr="00765010">
        <w:rPr>
          <w:iCs/>
          <w:color w:val="000000" w:themeColor="text1"/>
          <w:kern w:val="24"/>
        </w:rPr>
        <w:t xml:space="preserve"> r</w:t>
      </w:r>
      <w:r w:rsidR="002547F5">
        <w:rPr>
          <w:iCs/>
          <w:color w:val="000000" w:themeColor="text1"/>
          <w:kern w:val="24"/>
        </w:rPr>
        <w:t>.</w:t>
      </w:r>
      <w:r w:rsidR="00536620" w:rsidRPr="00765010">
        <w:rPr>
          <w:iCs/>
          <w:color w:val="000000" w:themeColor="text1"/>
          <w:kern w:val="24"/>
        </w:rPr>
        <w:t>,</w:t>
      </w:r>
      <w:r w:rsidR="00975B60" w:rsidRPr="00765010">
        <w:rPr>
          <w:iCs/>
          <w:color w:val="000000" w:themeColor="text1"/>
          <w:kern w:val="24"/>
        </w:rPr>
        <w:t xml:space="preserve"> </w:t>
      </w:r>
      <w:r w:rsidR="00536620" w:rsidRPr="00765010">
        <w:rPr>
          <w:iCs/>
          <w:color w:val="000000" w:themeColor="text1"/>
          <w:kern w:val="24"/>
        </w:rPr>
        <w:t>202</w:t>
      </w:r>
      <w:r w:rsidR="008F520D" w:rsidRPr="00765010">
        <w:rPr>
          <w:iCs/>
          <w:color w:val="000000" w:themeColor="text1"/>
          <w:kern w:val="24"/>
        </w:rPr>
        <w:t>5</w:t>
      </w:r>
      <w:r w:rsidR="00536620" w:rsidRPr="00765010">
        <w:rPr>
          <w:iCs/>
          <w:color w:val="000000" w:themeColor="text1"/>
          <w:kern w:val="24"/>
        </w:rPr>
        <w:t xml:space="preserve"> r</w:t>
      </w:r>
      <w:r w:rsidR="002547F5">
        <w:rPr>
          <w:iCs/>
          <w:color w:val="000000" w:themeColor="text1"/>
          <w:kern w:val="24"/>
        </w:rPr>
        <w:t>.</w:t>
      </w:r>
      <w:r w:rsidR="00536620" w:rsidRPr="00765010">
        <w:rPr>
          <w:iCs/>
          <w:color w:val="000000" w:themeColor="text1"/>
          <w:kern w:val="24"/>
        </w:rPr>
        <w:t>,</w:t>
      </w:r>
      <w:r w:rsidR="00975B60" w:rsidRPr="00765010">
        <w:rPr>
          <w:iCs/>
          <w:color w:val="000000" w:themeColor="text1"/>
          <w:kern w:val="24"/>
        </w:rPr>
        <w:t xml:space="preserve"> </w:t>
      </w:r>
      <w:r w:rsidR="00536620" w:rsidRPr="00765010">
        <w:rPr>
          <w:iCs/>
          <w:color w:val="000000" w:themeColor="text1"/>
          <w:kern w:val="24"/>
        </w:rPr>
        <w:t>202</w:t>
      </w:r>
      <w:r w:rsidR="008F520D" w:rsidRPr="00765010">
        <w:rPr>
          <w:iCs/>
          <w:color w:val="000000" w:themeColor="text1"/>
          <w:kern w:val="24"/>
        </w:rPr>
        <w:t>6</w:t>
      </w:r>
      <w:r w:rsidR="00536620" w:rsidRPr="00765010">
        <w:rPr>
          <w:iCs/>
          <w:color w:val="000000" w:themeColor="text1"/>
          <w:kern w:val="24"/>
        </w:rPr>
        <w:t xml:space="preserve"> r</w:t>
      </w:r>
      <w:r w:rsidR="002547F5">
        <w:rPr>
          <w:iCs/>
          <w:color w:val="000000" w:themeColor="text1"/>
          <w:kern w:val="24"/>
        </w:rPr>
        <w:t>.</w:t>
      </w:r>
      <w:r w:rsidRPr="00765010">
        <w:rPr>
          <w:iCs/>
          <w:color w:val="000000" w:themeColor="text1"/>
          <w:kern w:val="24"/>
        </w:rPr>
        <w:t xml:space="preserve">  wraz z opisem przyjętych założeń jak również informację</w:t>
      </w:r>
      <w:r w:rsidR="00536620" w:rsidRPr="00765010">
        <w:rPr>
          <w:iCs/>
          <w:color w:val="000000" w:themeColor="text1"/>
          <w:kern w:val="24"/>
        </w:rPr>
        <w:t xml:space="preserve"> </w:t>
      </w:r>
      <w:r w:rsidRPr="00765010">
        <w:rPr>
          <w:iCs/>
          <w:color w:val="000000" w:themeColor="text1"/>
          <w:kern w:val="24"/>
        </w:rPr>
        <w:t xml:space="preserve"> o istotnych zdarzeniach mających wpływ na sytuację</w:t>
      </w:r>
      <w:r w:rsidR="00F05AB8" w:rsidRPr="00765010">
        <w:rPr>
          <w:iCs/>
          <w:color w:val="000000" w:themeColor="text1"/>
          <w:kern w:val="24"/>
        </w:rPr>
        <w:t xml:space="preserve"> finansową w</w:t>
      </w:r>
      <w:r w:rsidRPr="00765010">
        <w:rPr>
          <w:iCs/>
          <w:color w:val="000000" w:themeColor="text1"/>
          <w:kern w:val="24"/>
        </w:rPr>
        <w:t xml:space="preserve"> SPZOZ</w:t>
      </w:r>
      <w:r w:rsidR="00536620" w:rsidRPr="00765010">
        <w:rPr>
          <w:iCs/>
          <w:color w:val="000000" w:themeColor="text1"/>
          <w:kern w:val="24"/>
        </w:rPr>
        <w:t xml:space="preserve"> w Sławkowie.</w:t>
      </w:r>
      <w:r w:rsidR="00F05AB8" w:rsidRPr="00765010">
        <w:rPr>
          <w:iCs/>
          <w:color w:val="000000" w:themeColor="text1"/>
          <w:kern w:val="24"/>
        </w:rPr>
        <w:t xml:space="preserve">   </w:t>
      </w:r>
    </w:p>
    <w:p w14:paraId="71136AE4" w14:textId="33380D32" w:rsidR="00B86BE7" w:rsidRPr="00765010" w:rsidRDefault="00F05AB8" w:rsidP="002547F5">
      <w:pPr>
        <w:ind w:left="284" w:hanging="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p>
    <w:p w14:paraId="10F8A34B" w14:textId="1A19D745" w:rsidR="0089742A" w:rsidRPr="00765010" w:rsidRDefault="0089742A" w:rsidP="002547F5">
      <w:pPr>
        <w:pStyle w:val="Akapitzlist"/>
        <w:numPr>
          <w:ilvl w:val="0"/>
          <w:numId w:val="16"/>
        </w:numPr>
        <w:spacing w:line="276" w:lineRule="auto"/>
        <w:ind w:left="284" w:hanging="284"/>
        <w:jc w:val="both"/>
        <w:rPr>
          <w:iCs/>
          <w:color w:val="000000" w:themeColor="text1"/>
          <w:kern w:val="24"/>
        </w:rPr>
      </w:pPr>
      <w:r w:rsidRPr="00765010">
        <w:rPr>
          <w:iCs/>
          <w:color w:val="000000" w:themeColor="text1"/>
          <w:kern w:val="24"/>
        </w:rPr>
        <w:t>Analiza oraz prognoza sytuacji ekonomiczno</w:t>
      </w:r>
      <w:r w:rsidR="00D051F8" w:rsidRPr="00765010">
        <w:rPr>
          <w:iCs/>
          <w:color w:val="000000" w:themeColor="text1"/>
          <w:kern w:val="24"/>
        </w:rPr>
        <w:t>-</w:t>
      </w:r>
      <w:r w:rsidRPr="00765010">
        <w:rPr>
          <w:iCs/>
          <w:color w:val="000000" w:themeColor="text1"/>
          <w:kern w:val="24"/>
        </w:rPr>
        <w:t xml:space="preserve">finansowej zawarta w </w:t>
      </w:r>
      <w:r w:rsidR="00F05AB8" w:rsidRPr="00765010">
        <w:rPr>
          <w:iCs/>
          <w:color w:val="000000" w:themeColor="text1"/>
          <w:kern w:val="24"/>
        </w:rPr>
        <w:t>r</w:t>
      </w:r>
      <w:r w:rsidRPr="00765010">
        <w:rPr>
          <w:iCs/>
          <w:color w:val="000000" w:themeColor="text1"/>
          <w:kern w:val="24"/>
        </w:rPr>
        <w:t xml:space="preserve">aporcie  została przygotowana </w:t>
      </w:r>
      <w:r w:rsidR="006655BD" w:rsidRPr="00765010">
        <w:rPr>
          <w:iCs/>
          <w:color w:val="000000" w:themeColor="text1"/>
          <w:kern w:val="24"/>
        </w:rPr>
        <w:br/>
      </w:r>
      <w:r w:rsidRPr="00765010">
        <w:rPr>
          <w:iCs/>
          <w:color w:val="000000" w:themeColor="text1"/>
          <w:kern w:val="24"/>
        </w:rPr>
        <w:t>w oparciu o wskaźniki określone w rozporządzeniu Ministra Zdrowia</w:t>
      </w:r>
      <w:r w:rsidR="002879A7" w:rsidRPr="00765010">
        <w:rPr>
          <w:iCs/>
          <w:color w:val="000000" w:themeColor="text1"/>
          <w:kern w:val="24"/>
        </w:rPr>
        <w:t xml:space="preserve">  </w:t>
      </w:r>
      <w:r w:rsidRPr="00765010">
        <w:rPr>
          <w:iCs/>
          <w:color w:val="000000" w:themeColor="text1"/>
          <w:kern w:val="24"/>
        </w:rPr>
        <w:t xml:space="preserve"> z dnia 12 kwietnia 2017</w:t>
      </w:r>
      <w:r w:rsidR="00F05AB8" w:rsidRPr="00765010">
        <w:rPr>
          <w:iCs/>
          <w:color w:val="000000" w:themeColor="text1"/>
          <w:kern w:val="24"/>
        </w:rPr>
        <w:t xml:space="preserve"> </w:t>
      </w:r>
      <w:r w:rsidRPr="00765010">
        <w:rPr>
          <w:iCs/>
          <w:color w:val="000000" w:themeColor="text1"/>
          <w:kern w:val="24"/>
        </w:rPr>
        <w:t>r</w:t>
      </w:r>
      <w:r w:rsidR="002547F5">
        <w:rPr>
          <w:iCs/>
          <w:color w:val="000000" w:themeColor="text1"/>
          <w:kern w:val="24"/>
        </w:rPr>
        <w:t>.</w:t>
      </w:r>
      <w:r w:rsidRPr="00765010">
        <w:rPr>
          <w:iCs/>
          <w:color w:val="000000" w:themeColor="text1"/>
          <w:kern w:val="24"/>
        </w:rPr>
        <w:t xml:space="preserve"> </w:t>
      </w:r>
      <w:r w:rsidR="006655BD" w:rsidRPr="00765010">
        <w:rPr>
          <w:iCs/>
          <w:color w:val="000000" w:themeColor="text1"/>
          <w:kern w:val="24"/>
        </w:rPr>
        <w:br/>
      </w:r>
      <w:r w:rsidRPr="00765010">
        <w:rPr>
          <w:iCs/>
          <w:color w:val="000000" w:themeColor="text1"/>
          <w:kern w:val="24"/>
        </w:rPr>
        <w:t xml:space="preserve">w sprawie wskaźników ekonomiczno-finansowych niezbędnych do sporządzenia analizy oraz prognozy sytuacji ekonomiczno-finansowej samodzielnych publicznych zakładów opieki zdrowotnej </w:t>
      </w:r>
      <w:r w:rsidR="006655BD" w:rsidRPr="00765010">
        <w:rPr>
          <w:iCs/>
          <w:color w:val="000000" w:themeColor="text1"/>
          <w:kern w:val="24"/>
        </w:rPr>
        <w:br/>
      </w:r>
      <w:r w:rsidRPr="00765010">
        <w:rPr>
          <w:iCs/>
          <w:color w:val="000000" w:themeColor="text1"/>
          <w:kern w:val="24"/>
        </w:rPr>
        <w:t>(Dz. U. z 2017r. poz. 832)</w:t>
      </w:r>
    </w:p>
    <w:p w14:paraId="2D9D2E78" w14:textId="52464395" w:rsidR="0089742A" w:rsidRPr="00765010" w:rsidRDefault="0092042C" w:rsidP="002547F5">
      <w:pPr>
        <w:pStyle w:val="Akapitzlist"/>
        <w:numPr>
          <w:ilvl w:val="0"/>
          <w:numId w:val="16"/>
        </w:numPr>
        <w:jc w:val="both"/>
        <w:rPr>
          <w:iCs/>
          <w:color w:val="000000" w:themeColor="text1"/>
          <w:kern w:val="24"/>
        </w:rPr>
      </w:pPr>
      <w:r w:rsidRPr="00765010">
        <w:rPr>
          <w:iCs/>
          <w:color w:val="000000" w:themeColor="text1"/>
          <w:kern w:val="24"/>
        </w:rPr>
        <w:lastRenderedPageBreak/>
        <w:t>Do sporządzenia niniejszego raportu p</w:t>
      </w:r>
      <w:r w:rsidR="0089742A" w:rsidRPr="00765010">
        <w:rPr>
          <w:iCs/>
          <w:color w:val="000000" w:themeColor="text1"/>
          <w:kern w:val="24"/>
        </w:rPr>
        <w:t>rzyjęto cztery obszary analizy:</w:t>
      </w:r>
    </w:p>
    <w:p w14:paraId="695A5C8A" w14:textId="77777777" w:rsidR="00343DB9" w:rsidRPr="00765010" w:rsidRDefault="00343DB9" w:rsidP="002547F5">
      <w:pPr>
        <w:pStyle w:val="Akapitzlist"/>
        <w:jc w:val="both"/>
        <w:rPr>
          <w:iCs/>
          <w:color w:val="000000" w:themeColor="text1"/>
          <w:kern w:val="24"/>
        </w:rPr>
      </w:pPr>
    </w:p>
    <w:p w14:paraId="020C6A3E" w14:textId="63F6E04E" w:rsidR="0089742A" w:rsidRPr="00765010" w:rsidRDefault="0089742A" w:rsidP="002547F5">
      <w:pPr>
        <w:pStyle w:val="Akapitzlist"/>
        <w:numPr>
          <w:ilvl w:val="0"/>
          <w:numId w:val="18"/>
        </w:numPr>
        <w:jc w:val="both"/>
        <w:rPr>
          <w:rFonts w:eastAsiaTheme="minorEastAsia"/>
          <w:iCs/>
          <w:color w:val="000000" w:themeColor="text1"/>
          <w:kern w:val="24"/>
        </w:rPr>
      </w:pPr>
      <w:r w:rsidRPr="00765010">
        <w:rPr>
          <w:rFonts w:eastAsiaTheme="minorEastAsia"/>
          <w:iCs/>
          <w:color w:val="000000" w:themeColor="text1"/>
          <w:kern w:val="24"/>
        </w:rPr>
        <w:t xml:space="preserve">Wskaźniki zyskowności: </w:t>
      </w:r>
      <w:r w:rsidR="00F05AB8" w:rsidRPr="00765010">
        <w:rPr>
          <w:rFonts w:eastAsiaTheme="minorEastAsia"/>
          <w:iCs/>
          <w:color w:val="000000" w:themeColor="text1"/>
          <w:kern w:val="24"/>
        </w:rPr>
        <w:t>(</w:t>
      </w:r>
      <w:r w:rsidRPr="00765010">
        <w:rPr>
          <w:rFonts w:eastAsiaTheme="minorEastAsia"/>
          <w:iCs/>
          <w:color w:val="000000" w:themeColor="text1"/>
          <w:kern w:val="24"/>
        </w:rPr>
        <w:t>zyskowności netto, zyskowności z działalności o</w:t>
      </w:r>
      <w:r w:rsidR="00F05AB8" w:rsidRPr="00765010">
        <w:rPr>
          <w:rFonts w:eastAsiaTheme="minorEastAsia"/>
          <w:iCs/>
          <w:color w:val="000000" w:themeColor="text1"/>
          <w:kern w:val="24"/>
        </w:rPr>
        <w:t>peracyjnej, zyskowności aktywów),</w:t>
      </w:r>
      <w:r w:rsidR="00343DB9" w:rsidRPr="00765010">
        <w:rPr>
          <w:iCs/>
          <w:color w:val="000000" w:themeColor="text1"/>
          <w:kern w:val="24"/>
        </w:rPr>
        <w:t xml:space="preserve"> służące do oceny rentowności działania</w:t>
      </w:r>
      <w:r w:rsidR="008F520D" w:rsidRPr="00765010">
        <w:rPr>
          <w:iCs/>
          <w:color w:val="000000" w:themeColor="text1"/>
          <w:kern w:val="24"/>
        </w:rPr>
        <w:t xml:space="preserve"> SPZOZ w Sławkowie.</w:t>
      </w:r>
    </w:p>
    <w:p w14:paraId="31548C4A" w14:textId="3F067FED" w:rsidR="0089742A" w:rsidRPr="00765010" w:rsidRDefault="0089742A" w:rsidP="002547F5">
      <w:pPr>
        <w:pStyle w:val="Akapitzlist"/>
        <w:numPr>
          <w:ilvl w:val="0"/>
          <w:numId w:val="18"/>
        </w:numPr>
        <w:jc w:val="both"/>
        <w:rPr>
          <w:rFonts w:eastAsiaTheme="minorEastAsia"/>
          <w:iCs/>
          <w:color w:val="000000" w:themeColor="text1"/>
          <w:kern w:val="24"/>
        </w:rPr>
      </w:pPr>
      <w:r w:rsidRPr="00765010">
        <w:rPr>
          <w:rFonts w:eastAsiaTheme="minorEastAsia"/>
          <w:iCs/>
          <w:color w:val="000000" w:themeColor="text1"/>
          <w:kern w:val="24"/>
        </w:rPr>
        <w:t>Wskaźniki płynnoś</w:t>
      </w:r>
      <w:r w:rsidR="00A93BEA" w:rsidRPr="00765010">
        <w:rPr>
          <w:rFonts w:eastAsiaTheme="minorEastAsia"/>
          <w:iCs/>
          <w:color w:val="000000" w:themeColor="text1"/>
          <w:kern w:val="24"/>
        </w:rPr>
        <w:t xml:space="preserve">ci: </w:t>
      </w:r>
      <w:r w:rsidR="00F05AB8" w:rsidRPr="00765010">
        <w:rPr>
          <w:rFonts w:eastAsiaTheme="minorEastAsia"/>
          <w:iCs/>
          <w:color w:val="000000" w:themeColor="text1"/>
          <w:kern w:val="24"/>
        </w:rPr>
        <w:t>(</w:t>
      </w:r>
      <w:r w:rsidR="00A93BEA" w:rsidRPr="00765010">
        <w:rPr>
          <w:rFonts w:eastAsiaTheme="minorEastAsia"/>
          <w:iCs/>
          <w:color w:val="000000" w:themeColor="text1"/>
          <w:kern w:val="24"/>
        </w:rPr>
        <w:t>bieżącej płynności i szybkiej płynności</w:t>
      </w:r>
      <w:r w:rsidR="00F05AB8" w:rsidRPr="00765010">
        <w:rPr>
          <w:rFonts w:eastAsiaTheme="minorEastAsia"/>
          <w:iCs/>
          <w:color w:val="000000" w:themeColor="text1"/>
          <w:kern w:val="24"/>
        </w:rPr>
        <w:t>)</w:t>
      </w:r>
      <w:r w:rsidR="00343DB9" w:rsidRPr="00765010">
        <w:rPr>
          <w:rFonts w:eastAsiaTheme="minorEastAsia"/>
          <w:iCs/>
          <w:color w:val="000000" w:themeColor="text1"/>
          <w:kern w:val="24"/>
        </w:rPr>
        <w:t xml:space="preserve">, </w:t>
      </w:r>
      <w:r w:rsidR="00343DB9" w:rsidRPr="00765010">
        <w:rPr>
          <w:iCs/>
          <w:color w:val="000000" w:themeColor="text1"/>
          <w:kern w:val="24"/>
        </w:rPr>
        <w:t xml:space="preserve">mierzące zdolność </w:t>
      </w:r>
      <w:r w:rsidR="008F520D" w:rsidRPr="00765010">
        <w:rPr>
          <w:iCs/>
          <w:color w:val="000000" w:themeColor="text1"/>
          <w:kern w:val="24"/>
        </w:rPr>
        <w:t xml:space="preserve">SPZOZ </w:t>
      </w:r>
      <w:r w:rsidR="002547F5">
        <w:rPr>
          <w:iCs/>
          <w:color w:val="000000" w:themeColor="text1"/>
          <w:kern w:val="24"/>
        </w:rPr>
        <w:t xml:space="preserve">                                 </w:t>
      </w:r>
      <w:r w:rsidR="008F520D" w:rsidRPr="00765010">
        <w:rPr>
          <w:iCs/>
          <w:color w:val="000000" w:themeColor="text1"/>
          <w:kern w:val="24"/>
        </w:rPr>
        <w:t xml:space="preserve">w Sławkowie </w:t>
      </w:r>
      <w:r w:rsidR="00343DB9" w:rsidRPr="00765010">
        <w:rPr>
          <w:iCs/>
          <w:color w:val="000000" w:themeColor="text1"/>
          <w:kern w:val="24"/>
        </w:rPr>
        <w:t xml:space="preserve">  do wywiązywania się z krótkoterminowych zobowiązań.</w:t>
      </w:r>
    </w:p>
    <w:p w14:paraId="1396BC78" w14:textId="77668115" w:rsidR="00A93BEA" w:rsidRPr="00765010" w:rsidRDefault="008F520D" w:rsidP="002547F5">
      <w:pPr>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3). </w:t>
      </w:r>
      <w:r w:rsidR="00A93BEA" w:rsidRPr="00765010">
        <w:rPr>
          <w:rFonts w:ascii="Times New Roman" w:hAnsi="Times New Roman" w:cs="Times New Roman"/>
          <w:iCs/>
          <w:color w:val="000000" w:themeColor="text1"/>
          <w:kern w:val="24"/>
          <w:sz w:val="24"/>
          <w:szCs w:val="24"/>
        </w:rPr>
        <w:t xml:space="preserve">Wskaźniki efektywności: </w:t>
      </w:r>
      <w:r w:rsidR="00F05AB8" w:rsidRPr="00765010">
        <w:rPr>
          <w:rFonts w:ascii="Times New Roman" w:hAnsi="Times New Roman" w:cs="Times New Roman"/>
          <w:iCs/>
          <w:color w:val="000000" w:themeColor="text1"/>
          <w:kern w:val="24"/>
          <w:sz w:val="24"/>
          <w:szCs w:val="24"/>
        </w:rPr>
        <w:t>(</w:t>
      </w:r>
      <w:r w:rsidR="00A93BEA" w:rsidRPr="00765010">
        <w:rPr>
          <w:rFonts w:ascii="Times New Roman" w:hAnsi="Times New Roman" w:cs="Times New Roman"/>
          <w:iCs/>
          <w:color w:val="000000" w:themeColor="text1"/>
          <w:kern w:val="24"/>
          <w:sz w:val="24"/>
          <w:szCs w:val="24"/>
        </w:rPr>
        <w:t>rotacji należności i rotacji zobowiązań</w:t>
      </w:r>
      <w:r w:rsidR="00536620" w:rsidRPr="00765010">
        <w:rPr>
          <w:rFonts w:ascii="Times New Roman" w:hAnsi="Times New Roman" w:cs="Times New Roman"/>
          <w:iCs/>
          <w:color w:val="000000" w:themeColor="text1"/>
          <w:kern w:val="24"/>
          <w:sz w:val="24"/>
          <w:szCs w:val="24"/>
        </w:rPr>
        <w:t xml:space="preserve"> wyrażon</w:t>
      </w:r>
      <w:r w:rsidRPr="00765010">
        <w:rPr>
          <w:rFonts w:ascii="Times New Roman" w:hAnsi="Times New Roman" w:cs="Times New Roman"/>
          <w:iCs/>
          <w:color w:val="000000" w:themeColor="text1"/>
          <w:kern w:val="24"/>
          <w:sz w:val="24"/>
          <w:szCs w:val="24"/>
        </w:rPr>
        <w:t>e</w:t>
      </w:r>
      <w:r w:rsidR="00536620" w:rsidRPr="00765010">
        <w:rPr>
          <w:rFonts w:ascii="Times New Roman" w:hAnsi="Times New Roman" w:cs="Times New Roman"/>
          <w:iCs/>
          <w:color w:val="000000" w:themeColor="text1"/>
          <w:kern w:val="24"/>
          <w:sz w:val="24"/>
          <w:szCs w:val="24"/>
        </w:rPr>
        <w:t xml:space="preserve"> w dniach</w:t>
      </w:r>
      <w:r w:rsidR="00F05AB8" w:rsidRPr="00765010">
        <w:rPr>
          <w:rFonts w:ascii="Times New Roman" w:hAnsi="Times New Roman" w:cs="Times New Roman"/>
          <w:iCs/>
          <w:color w:val="000000" w:themeColor="text1"/>
          <w:kern w:val="24"/>
          <w:sz w:val="24"/>
          <w:szCs w:val="24"/>
        </w:rPr>
        <w:t>)</w:t>
      </w:r>
      <w:r w:rsidR="00343DB9" w:rsidRPr="00765010">
        <w:rPr>
          <w:rFonts w:ascii="Times New Roman" w:hAnsi="Times New Roman" w:cs="Times New Roman"/>
          <w:iCs/>
          <w:color w:val="000000" w:themeColor="text1"/>
          <w:kern w:val="24"/>
          <w:sz w:val="24"/>
          <w:szCs w:val="24"/>
        </w:rPr>
        <w:t xml:space="preserve"> </w:t>
      </w:r>
      <w:r w:rsidR="00533864" w:rsidRPr="00765010">
        <w:rPr>
          <w:rFonts w:ascii="Times New Roman" w:hAnsi="Times New Roman" w:cs="Times New Roman"/>
          <w:iCs/>
          <w:color w:val="000000" w:themeColor="text1"/>
          <w:kern w:val="24"/>
          <w:sz w:val="24"/>
          <w:szCs w:val="24"/>
        </w:rPr>
        <w:br/>
      </w:r>
      <w:r w:rsidR="00343DB9" w:rsidRPr="00765010">
        <w:rPr>
          <w:rFonts w:ascii="Times New Roman" w:hAnsi="Times New Roman" w:cs="Times New Roman"/>
          <w:iCs/>
          <w:color w:val="000000" w:themeColor="text1"/>
          <w:kern w:val="24"/>
          <w:sz w:val="24"/>
          <w:szCs w:val="24"/>
        </w:rPr>
        <w:t xml:space="preserve">informujące w jakich cyklach </w:t>
      </w:r>
      <w:r w:rsidRPr="00765010">
        <w:rPr>
          <w:rFonts w:ascii="Times New Roman" w:hAnsi="Times New Roman" w:cs="Times New Roman"/>
          <w:iCs/>
          <w:color w:val="000000" w:themeColor="text1"/>
          <w:kern w:val="24"/>
          <w:sz w:val="24"/>
          <w:szCs w:val="24"/>
        </w:rPr>
        <w:t xml:space="preserve">SPZOZ Sławków </w:t>
      </w:r>
      <w:r w:rsidR="00343DB9" w:rsidRPr="00765010">
        <w:rPr>
          <w:rFonts w:ascii="Times New Roman" w:hAnsi="Times New Roman" w:cs="Times New Roman"/>
          <w:iCs/>
          <w:color w:val="000000" w:themeColor="text1"/>
          <w:kern w:val="24"/>
          <w:sz w:val="24"/>
          <w:szCs w:val="24"/>
        </w:rPr>
        <w:t xml:space="preserve"> spłaca zobowiązania oraz otrzymuje należności.</w:t>
      </w:r>
    </w:p>
    <w:p w14:paraId="24158942" w14:textId="0DB508C5" w:rsidR="00E86C80" w:rsidRPr="00765010" w:rsidRDefault="008F520D" w:rsidP="002547F5">
      <w:pPr>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4). </w:t>
      </w:r>
      <w:r w:rsidR="00A93BEA" w:rsidRPr="00765010">
        <w:rPr>
          <w:rFonts w:ascii="Times New Roman" w:hAnsi="Times New Roman" w:cs="Times New Roman"/>
          <w:iCs/>
          <w:color w:val="000000" w:themeColor="text1"/>
          <w:kern w:val="24"/>
          <w:sz w:val="24"/>
          <w:szCs w:val="24"/>
        </w:rPr>
        <w:t xml:space="preserve">Wskaźniki zadłużenia: </w:t>
      </w:r>
      <w:r w:rsidR="00F05AB8" w:rsidRPr="00765010">
        <w:rPr>
          <w:rFonts w:ascii="Times New Roman" w:hAnsi="Times New Roman" w:cs="Times New Roman"/>
          <w:iCs/>
          <w:color w:val="000000" w:themeColor="text1"/>
          <w:kern w:val="24"/>
          <w:sz w:val="24"/>
          <w:szCs w:val="24"/>
        </w:rPr>
        <w:t>(</w:t>
      </w:r>
      <w:r w:rsidR="00A93BEA" w:rsidRPr="00765010">
        <w:rPr>
          <w:rFonts w:ascii="Times New Roman" w:hAnsi="Times New Roman" w:cs="Times New Roman"/>
          <w:iCs/>
          <w:color w:val="000000" w:themeColor="text1"/>
          <w:kern w:val="24"/>
          <w:sz w:val="24"/>
          <w:szCs w:val="24"/>
        </w:rPr>
        <w:t>zad</w:t>
      </w:r>
      <w:r w:rsidR="00F05AB8" w:rsidRPr="00765010">
        <w:rPr>
          <w:rFonts w:ascii="Times New Roman" w:hAnsi="Times New Roman" w:cs="Times New Roman"/>
          <w:iCs/>
          <w:color w:val="000000" w:themeColor="text1"/>
          <w:kern w:val="24"/>
          <w:sz w:val="24"/>
          <w:szCs w:val="24"/>
        </w:rPr>
        <w:t>łużenia aktywów</w:t>
      </w:r>
      <w:r w:rsidR="00536620" w:rsidRPr="00765010">
        <w:rPr>
          <w:rFonts w:ascii="Times New Roman" w:hAnsi="Times New Roman" w:cs="Times New Roman"/>
          <w:iCs/>
          <w:color w:val="000000" w:themeColor="text1"/>
          <w:kern w:val="24"/>
          <w:sz w:val="24"/>
          <w:szCs w:val="24"/>
        </w:rPr>
        <w:t xml:space="preserve"> wyrażon</w:t>
      </w:r>
      <w:r w:rsidRPr="00765010">
        <w:rPr>
          <w:rFonts w:ascii="Times New Roman" w:hAnsi="Times New Roman" w:cs="Times New Roman"/>
          <w:iCs/>
          <w:color w:val="000000" w:themeColor="text1"/>
          <w:kern w:val="24"/>
          <w:sz w:val="24"/>
          <w:szCs w:val="24"/>
        </w:rPr>
        <w:t>e</w:t>
      </w:r>
      <w:r w:rsidR="00536620" w:rsidRPr="00765010">
        <w:rPr>
          <w:rFonts w:ascii="Times New Roman" w:hAnsi="Times New Roman" w:cs="Times New Roman"/>
          <w:iCs/>
          <w:color w:val="000000" w:themeColor="text1"/>
          <w:kern w:val="24"/>
          <w:sz w:val="24"/>
          <w:szCs w:val="24"/>
        </w:rPr>
        <w:t xml:space="preserve"> w %</w:t>
      </w:r>
      <w:r w:rsidR="00F05AB8" w:rsidRPr="00765010">
        <w:rPr>
          <w:rFonts w:ascii="Times New Roman" w:hAnsi="Times New Roman" w:cs="Times New Roman"/>
          <w:iCs/>
          <w:color w:val="000000" w:themeColor="text1"/>
          <w:kern w:val="24"/>
          <w:sz w:val="24"/>
          <w:szCs w:val="24"/>
        </w:rPr>
        <w:t xml:space="preserve"> i </w:t>
      </w:r>
      <w:r w:rsidR="00536620" w:rsidRPr="00765010">
        <w:rPr>
          <w:rFonts w:ascii="Times New Roman" w:hAnsi="Times New Roman" w:cs="Times New Roman"/>
          <w:iCs/>
          <w:color w:val="000000" w:themeColor="text1"/>
          <w:kern w:val="24"/>
          <w:sz w:val="24"/>
          <w:szCs w:val="24"/>
        </w:rPr>
        <w:t xml:space="preserve"> wskaźnik </w:t>
      </w:r>
      <w:r w:rsidR="00F05AB8" w:rsidRPr="00765010">
        <w:rPr>
          <w:rFonts w:ascii="Times New Roman" w:hAnsi="Times New Roman" w:cs="Times New Roman"/>
          <w:iCs/>
          <w:color w:val="000000" w:themeColor="text1"/>
          <w:kern w:val="24"/>
          <w:sz w:val="24"/>
          <w:szCs w:val="24"/>
        </w:rPr>
        <w:t>wypłacalności).</w:t>
      </w:r>
    </w:p>
    <w:p w14:paraId="634BC3A5" w14:textId="4463074E" w:rsidR="00A93BEA" w:rsidRPr="002547F5" w:rsidRDefault="00A93BEA" w:rsidP="002547F5">
      <w:pPr>
        <w:ind w:firstLine="708"/>
        <w:jc w:val="both"/>
        <w:rPr>
          <w:rFonts w:ascii="Times New Roman" w:hAnsi="Times New Roman" w:cs="Times New Roman"/>
          <w:iCs/>
          <w:color w:val="000000" w:themeColor="text1"/>
          <w:kern w:val="24"/>
          <w:sz w:val="24"/>
          <w:szCs w:val="24"/>
        </w:rPr>
      </w:pPr>
      <w:r w:rsidRPr="002547F5">
        <w:rPr>
          <w:rFonts w:ascii="Times New Roman" w:hAnsi="Times New Roman" w:cs="Times New Roman"/>
          <w:iCs/>
          <w:color w:val="000000" w:themeColor="text1"/>
          <w:kern w:val="24"/>
          <w:sz w:val="24"/>
          <w:szCs w:val="24"/>
        </w:rPr>
        <w:t xml:space="preserve">Analiza wskaźnikowa jest powszechnie znanym narzędziem oceny sytuacji kondycji finansowej </w:t>
      </w:r>
      <w:r w:rsidR="00343DB9" w:rsidRPr="002547F5">
        <w:rPr>
          <w:rFonts w:ascii="Times New Roman" w:hAnsi="Times New Roman" w:cs="Times New Roman"/>
          <w:iCs/>
          <w:color w:val="000000" w:themeColor="text1"/>
          <w:kern w:val="24"/>
          <w:sz w:val="24"/>
          <w:szCs w:val="24"/>
        </w:rPr>
        <w:t>zakładu.</w:t>
      </w:r>
      <w:r w:rsidRPr="002547F5">
        <w:rPr>
          <w:rFonts w:ascii="Times New Roman" w:hAnsi="Times New Roman" w:cs="Times New Roman"/>
          <w:iCs/>
          <w:color w:val="000000" w:themeColor="text1"/>
          <w:kern w:val="24"/>
          <w:sz w:val="24"/>
          <w:szCs w:val="24"/>
        </w:rPr>
        <w:t xml:space="preserve"> Pozwala uzyskać informacje syntetyczne o efektywności prowadzonej działalności.</w:t>
      </w:r>
    </w:p>
    <w:p w14:paraId="63E4BD88" w14:textId="5947FEFE" w:rsidR="00BD414B" w:rsidRPr="00765010" w:rsidRDefault="00BD414B" w:rsidP="002547F5">
      <w:pPr>
        <w:pStyle w:val="Akapitzlist"/>
        <w:jc w:val="both"/>
        <w:rPr>
          <w:iCs/>
          <w:color w:val="000000" w:themeColor="text1"/>
          <w:kern w:val="24"/>
        </w:rPr>
      </w:pPr>
    </w:p>
    <w:p w14:paraId="3A0E4864" w14:textId="50FBF04E" w:rsidR="00BD414B" w:rsidRPr="00765010" w:rsidRDefault="00BD414B" w:rsidP="00BD414B">
      <w:pPr>
        <w:pStyle w:val="Akapitzlist"/>
        <w:jc w:val="both"/>
        <w:rPr>
          <w:iCs/>
          <w:color w:val="000000" w:themeColor="text1"/>
          <w:kern w:val="24"/>
        </w:rPr>
      </w:pPr>
    </w:p>
    <w:p w14:paraId="6C3EC137" w14:textId="3E8755DD" w:rsidR="00BD414B" w:rsidRPr="00765010" w:rsidRDefault="00BD414B" w:rsidP="00BD414B">
      <w:pPr>
        <w:pStyle w:val="Akapitzlist"/>
        <w:jc w:val="both"/>
        <w:rPr>
          <w:iCs/>
          <w:color w:val="000000" w:themeColor="text1"/>
          <w:kern w:val="24"/>
        </w:rPr>
      </w:pPr>
    </w:p>
    <w:p w14:paraId="68F5D4ED" w14:textId="39F6798A" w:rsidR="00BD414B" w:rsidRPr="00765010" w:rsidRDefault="00BD414B" w:rsidP="00BD414B">
      <w:pPr>
        <w:pStyle w:val="Akapitzlist"/>
        <w:jc w:val="both"/>
        <w:rPr>
          <w:iCs/>
          <w:color w:val="000000" w:themeColor="text1"/>
          <w:kern w:val="24"/>
        </w:rPr>
      </w:pPr>
    </w:p>
    <w:p w14:paraId="3FA17D1F" w14:textId="3149EDDF" w:rsidR="00BD414B" w:rsidRPr="00765010" w:rsidRDefault="00BD414B" w:rsidP="00BD414B">
      <w:pPr>
        <w:pStyle w:val="Akapitzlist"/>
        <w:jc w:val="both"/>
        <w:rPr>
          <w:iCs/>
          <w:color w:val="000000" w:themeColor="text1"/>
          <w:kern w:val="24"/>
        </w:rPr>
      </w:pPr>
    </w:p>
    <w:p w14:paraId="7C375528" w14:textId="71CAD4DE" w:rsidR="00BD414B" w:rsidRPr="00765010" w:rsidRDefault="00BD414B" w:rsidP="00BD414B">
      <w:pPr>
        <w:pStyle w:val="Akapitzlist"/>
        <w:jc w:val="both"/>
        <w:rPr>
          <w:iCs/>
          <w:color w:val="000000" w:themeColor="text1"/>
          <w:kern w:val="24"/>
        </w:rPr>
      </w:pPr>
    </w:p>
    <w:p w14:paraId="0D5533E0" w14:textId="18B3C928" w:rsidR="00BD414B" w:rsidRPr="00765010" w:rsidRDefault="00BD414B" w:rsidP="00BD414B">
      <w:pPr>
        <w:pStyle w:val="Akapitzlist"/>
        <w:jc w:val="both"/>
        <w:rPr>
          <w:iCs/>
          <w:color w:val="000000" w:themeColor="text1"/>
          <w:kern w:val="24"/>
        </w:rPr>
      </w:pPr>
    </w:p>
    <w:p w14:paraId="4438C086" w14:textId="503EA8F9" w:rsidR="00BD414B" w:rsidRPr="00765010" w:rsidRDefault="00BD414B" w:rsidP="00BD414B">
      <w:pPr>
        <w:pStyle w:val="Akapitzlist"/>
        <w:jc w:val="both"/>
        <w:rPr>
          <w:iCs/>
          <w:color w:val="000000" w:themeColor="text1"/>
          <w:kern w:val="24"/>
        </w:rPr>
      </w:pPr>
    </w:p>
    <w:p w14:paraId="0EE53F90" w14:textId="0BC42865" w:rsidR="00BD414B" w:rsidRPr="00765010" w:rsidRDefault="00BD414B" w:rsidP="00BD414B">
      <w:pPr>
        <w:pStyle w:val="Akapitzlist"/>
        <w:jc w:val="both"/>
        <w:rPr>
          <w:iCs/>
          <w:color w:val="000000" w:themeColor="text1"/>
          <w:kern w:val="24"/>
        </w:rPr>
      </w:pPr>
    </w:p>
    <w:p w14:paraId="7F4E5D31" w14:textId="7C5A0AF9" w:rsidR="00BD414B" w:rsidRPr="00765010" w:rsidRDefault="00BD414B" w:rsidP="00BD414B">
      <w:pPr>
        <w:pStyle w:val="Akapitzlist"/>
        <w:jc w:val="both"/>
        <w:rPr>
          <w:iCs/>
          <w:color w:val="000000" w:themeColor="text1"/>
          <w:kern w:val="24"/>
        </w:rPr>
      </w:pPr>
    </w:p>
    <w:p w14:paraId="2563DB22" w14:textId="02DA77C1" w:rsidR="00BD414B" w:rsidRPr="00765010" w:rsidRDefault="00BD414B" w:rsidP="00BD414B">
      <w:pPr>
        <w:pStyle w:val="Akapitzlist"/>
        <w:jc w:val="both"/>
        <w:rPr>
          <w:iCs/>
          <w:color w:val="000000" w:themeColor="text1"/>
          <w:kern w:val="24"/>
        </w:rPr>
      </w:pPr>
    </w:p>
    <w:p w14:paraId="1230D6C5" w14:textId="76AC0B1F" w:rsidR="00BD414B" w:rsidRPr="00765010" w:rsidRDefault="00BD414B" w:rsidP="00BD414B">
      <w:pPr>
        <w:pStyle w:val="Akapitzlist"/>
        <w:jc w:val="both"/>
        <w:rPr>
          <w:iCs/>
          <w:color w:val="000000" w:themeColor="text1"/>
          <w:kern w:val="24"/>
        </w:rPr>
      </w:pPr>
    </w:p>
    <w:p w14:paraId="4133A703" w14:textId="759AF694" w:rsidR="00BD414B" w:rsidRPr="00765010" w:rsidRDefault="00BD414B" w:rsidP="00BD414B">
      <w:pPr>
        <w:pStyle w:val="Akapitzlist"/>
        <w:jc w:val="both"/>
        <w:rPr>
          <w:iCs/>
          <w:color w:val="000000" w:themeColor="text1"/>
          <w:kern w:val="24"/>
        </w:rPr>
      </w:pPr>
    </w:p>
    <w:p w14:paraId="54F27976" w14:textId="752A7AB5" w:rsidR="00BD414B" w:rsidRPr="00765010" w:rsidRDefault="00BD414B" w:rsidP="00BD414B">
      <w:pPr>
        <w:pStyle w:val="Akapitzlist"/>
        <w:jc w:val="both"/>
        <w:rPr>
          <w:iCs/>
          <w:color w:val="000000" w:themeColor="text1"/>
          <w:kern w:val="24"/>
        </w:rPr>
      </w:pPr>
    </w:p>
    <w:p w14:paraId="79B25F98" w14:textId="4B0A5583" w:rsidR="00BD414B" w:rsidRPr="00765010" w:rsidRDefault="00BD414B" w:rsidP="00BD414B">
      <w:pPr>
        <w:pStyle w:val="Akapitzlist"/>
        <w:jc w:val="both"/>
        <w:rPr>
          <w:iCs/>
          <w:color w:val="000000" w:themeColor="text1"/>
          <w:kern w:val="24"/>
        </w:rPr>
      </w:pPr>
    </w:p>
    <w:p w14:paraId="667F4FD7" w14:textId="3D26CF5C" w:rsidR="00BD414B" w:rsidRPr="00765010" w:rsidRDefault="00BD414B" w:rsidP="00BD414B">
      <w:pPr>
        <w:pStyle w:val="Akapitzlist"/>
        <w:jc w:val="both"/>
        <w:rPr>
          <w:iCs/>
          <w:color w:val="000000" w:themeColor="text1"/>
          <w:kern w:val="24"/>
        </w:rPr>
      </w:pPr>
    </w:p>
    <w:p w14:paraId="14EDD79D" w14:textId="037557B0" w:rsidR="00BD414B" w:rsidRPr="00765010" w:rsidRDefault="00BD414B" w:rsidP="00BD414B">
      <w:pPr>
        <w:pStyle w:val="Akapitzlist"/>
        <w:jc w:val="both"/>
        <w:rPr>
          <w:iCs/>
          <w:color w:val="000000" w:themeColor="text1"/>
          <w:kern w:val="24"/>
        </w:rPr>
      </w:pPr>
    </w:p>
    <w:p w14:paraId="47B1B083" w14:textId="06CD6690" w:rsidR="00BD414B" w:rsidRPr="00765010" w:rsidRDefault="00BD414B" w:rsidP="00BD414B">
      <w:pPr>
        <w:pStyle w:val="Akapitzlist"/>
        <w:jc w:val="both"/>
        <w:rPr>
          <w:iCs/>
          <w:color w:val="000000" w:themeColor="text1"/>
          <w:kern w:val="24"/>
        </w:rPr>
      </w:pPr>
    </w:p>
    <w:p w14:paraId="10E4550B" w14:textId="229F395A" w:rsidR="00BD414B" w:rsidRPr="00765010" w:rsidRDefault="00BD414B" w:rsidP="00BD414B">
      <w:pPr>
        <w:pStyle w:val="Akapitzlist"/>
        <w:jc w:val="both"/>
        <w:rPr>
          <w:iCs/>
          <w:color w:val="000000" w:themeColor="text1"/>
          <w:kern w:val="24"/>
        </w:rPr>
      </w:pPr>
    </w:p>
    <w:p w14:paraId="5167E791" w14:textId="1A2B9685" w:rsidR="00BD414B" w:rsidRPr="00765010" w:rsidRDefault="00BD414B" w:rsidP="00BD414B">
      <w:pPr>
        <w:pStyle w:val="Akapitzlist"/>
        <w:jc w:val="both"/>
        <w:rPr>
          <w:iCs/>
          <w:color w:val="000000" w:themeColor="text1"/>
          <w:kern w:val="24"/>
        </w:rPr>
      </w:pPr>
    </w:p>
    <w:p w14:paraId="153A34ED" w14:textId="750D1BF2" w:rsidR="00BD414B" w:rsidRPr="00765010" w:rsidRDefault="00BD414B" w:rsidP="00BD414B">
      <w:pPr>
        <w:pStyle w:val="Akapitzlist"/>
        <w:jc w:val="both"/>
        <w:rPr>
          <w:iCs/>
          <w:color w:val="000000" w:themeColor="text1"/>
          <w:kern w:val="24"/>
        </w:rPr>
      </w:pPr>
    </w:p>
    <w:p w14:paraId="12F6076E" w14:textId="0387CBD3" w:rsidR="00BD414B" w:rsidRDefault="00BD414B" w:rsidP="00BD414B">
      <w:pPr>
        <w:pStyle w:val="Akapitzlist"/>
        <w:jc w:val="both"/>
        <w:rPr>
          <w:iCs/>
          <w:color w:val="000000" w:themeColor="text1"/>
          <w:kern w:val="24"/>
        </w:rPr>
      </w:pPr>
    </w:p>
    <w:p w14:paraId="2A12BF8B" w14:textId="77777777" w:rsidR="00765010" w:rsidRDefault="00765010" w:rsidP="00BD414B">
      <w:pPr>
        <w:pStyle w:val="Akapitzlist"/>
        <w:jc w:val="both"/>
        <w:rPr>
          <w:iCs/>
          <w:color w:val="000000" w:themeColor="text1"/>
          <w:kern w:val="24"/>
        </w:rPr>
      </w:pPr>
    </w:p>
    <w:p w14:paraId="54557F66" w14:textId="77777777" w:rsidR="00765010" w:rsidRPr="00765010" w:rsidRDefault="00765010" w:rsidP="00BD414B">
      <w:pPr>
        <w:pStyle w:val="Akapitzlist"/>
        <w:jc w:val="both"/>
        <w:rPr>
          <w:iCs/>
          <w:color w:val="000000" w:themeColor="text1"/>
          <w:kern w:val="24"/>
        </w:rPr>
      </w:pPr>
    </w:p>
    <w:p w14:paraId="0BA30E5C" w14:textId="096A9573" w:rsidR="00BD414B" w:rsidRPr="00765010" w:rsidRDefault="00BD414B" w:rsidP="00BD414B">
      <w:pPr>
        <w:pStyle w:val="Akapitzlist"/>
        <w:jc w:val="both"/>
        <w:rPr>
          <w:iCs/>
          <w:color w:val="000000" w:themeColor="text1"/>
          <w:kern w:val="24"/>
        </w:rPr>
      </w:pPr>
    </w:p>
    <w:p w14:paraId="58F40ED4" w14:textId="25E9C1BF" w:rsidR="00BD414B" w:rsidRPr="00765010" w:rsidRDefault="00BD414B" w:rsidP="00BD414B">
      <w:pPr>
        <w:pStyle w:val="Akapitzlist"/>
        <w:jc w:val="both"/>
        <w:rPr>
          <w:iCs/>
          <w:color w:val="000000" w:themeColor="text1"/>
          <w:kern w:val="24"/>
        </w:rPr>
      </w:pPr>
    </w:p>
    <w:p w14:paraId="13BA70FD" w14:textId="728D6104" w:rsidR="00BD414B" w:rsidRPr="00765010" w:rsidRDefault="00BD414B" w:rsidP="00BD414B">
      <w:pPr>
        <w:pStyle w:val="Akapitzlist"/>
        <w:jc w:val="both"/>
        <w:rPr>
          <w:iCs/>
          <w:color w:val="000000" w:themeColor="text1"/>
          <w:kern w:val="24"/>
        </w:rPr>
      </w:pPr>
    </w:p>
    <w:p w14:paraId="34CFBEC1" w14:textId="20D5C5F6" w:rsidR="00BD414B" w:rsidRPr="00765010" w:rsidRDefault="00BD414B" w:rsidP="00BD414B">
      <w:pPr>
        <w:pStyle w:val="Akapitzlist"/>
        <w:jc w:val="both"/>
        <w:rPr>
          <w:iCs/>
          <w:color w:val="000000" w:themeColor="text1"/>
          <w:kern w:val="24"/>
        </w:rPr>
      </w:pPr>
    </w:p>
    <w:p w14:paraId="44182BA9" w14:textId="6E4FBC32" w:rsidR="00BD414B" w:rsidRPr="00765010" w:rsidRDefault="00BD414B" w:rsidP="00BD414B">
      <w:pPr>
        <w:pStyle w:val="Akapitzlist"/>
        <w:jc w:val="both"/>
        <w:rPr>
          <w:iCs/>
          <w:color w:val="000000" w:themeColor="text1"/>
          <w:kern w:val="24"/>
        </w:rPr>
      </w:pPr>
    </w:p>
    <w:p w14:paraId="03F3C726" w14:textId="3A2BAF62" w:rsidR="00BD414B" w:rsidRPr="00765010" w:rsidRDefault="00BD414B" w:rsidP="00BD414B">
      <w:pPr>
        <w:pStyle w:val="Akapitzlist"/>
        <w:jc w:val="both"/>
        <w:rPr>
          <w:iCs/>
          <w:color w:val="000000" w:themeColor="text1"/>
          <w:kern w:val="24"/>
        </w:rPr>
      </w:pPr>
    </w:p>
    <w:p w14:paraId="38F40D61" w14:textId="05B226B9" w:rsidR="00BD414B" w:rsidRPr="00765010" w:rsidRDefault="00BD414B" w:rsidP="00BD414B">
      <w:pPr>
        <w:pStyle w:val="Akapitzlist"/>
        <w:jc w:val="both"/>
        <w:rPr>
          <w:iCs/>
          <w:color w:val="000000" w:themeColor="text1"/>
          <w:kern w:val="24"/>
        </w:rPr>
      </w:pPr>
    </w:p>
    <w:p w14:paraId="1E842A93" w14:textId="4F62190D" w:rsidR="00BD414B" w:rsidRPr="00765010" w:rsidRDefault="00BD414B" w:rsidP="00BD414B">
      <w:pPr>
        <w:pStyle w:val="Akapitzlist"/>
        <w:jc w:val="both"/>
        <w:rPr>
          <w:iCs/>
          <w:color w:val="000000" w:themeColor="text1"/>
          <w:kern w:val="24"/>
        </w:rPr>
      </w:pPr>
    </w:p>
    <w:p w14:paraId="0167E4CA" w14:textId="09C0BD6D" w:rsidR="00BD414B" w:rsidRPr="00765010" w:rsidRDefault="00BD414B" w:rsidP="00BD414B">
      <w:pPr>
        <w:pStyle w:val="Akapitzlist"/>
        <w:jc w:val="both"/>
        <w:rPr>
          <w:iCs/>
          <w:color w:val="000000" w:themeColor="text1"/>
          <w:kern w:val="24"/>
        </w:rPr>
      </w:pPr>
    </w:p>
    <w:p w14:paraId="422FC03C" w14:textId="3CEEA7A2" w:rsidR="00BD414B" w:rsidRPr="00765010" w:rsidRDefault="00BD414B" w:rsidP="00BD414B">
      <w:pPr>
        <w:pStyle w:val="Akapitzlist"/>
        <w:jc w:val="both"/>
        <w:rPr>
          <w:iCs/>
          <w:color w:val="000000" w:themeColor="text1"/>
          <w:kern w:val="24"/>
        </w:rPr>
      </w:pPr>
    </w:p>
    <w:p w14:paraId="2AA1CE51" w14:textId="1C74B273" w:rsidR="00BD414B" w:rsidRPr="00765010" w:rsidRDefault="00BD414B" w:rsidP="00BD414B">
      <w:pPr>
        <w:pStyle w:val="Akapitzlist"/>
        <w:jc w:val="both"/>
        <w:rPr>
          <w:iCs/>
          <w:color w:val="000000" w:themeColor="text1"/>
          <w:kern w:val="24"/>
        </w:rPr>
      </w:pPr>
    </w:p>
    <w:p w14:paraId="43EEA205" w14:textId="34CA7528" w:rsidR="00BD414B" w:rsidRPr="00765010" w:rsidRDefault="00BD414B" w:rsidP="00BD414B">
      <w:pPr>
        <w:pStyle w:val="Akapitzlist"/>
        <w:jc w:val="both"/>
        <w:rPr>
          <w:iCs/>
          <w:color w:val="000000" w:themeColor="text1"/>
          <w:kern w:val="24"/>
        </w:rPr>
      </w:pPr>
    </w:p>
    <w:tbl>
      <w:tblPr>
        <w:tblW w:w="10710" w:type="dxa"/>
        <w:tblInd w:w="70" w:type="dxa"/>
        <w:tblCellMar>
          <w:left w:w="70" w:type="dxa"/>
          <w:right w:w="70" w:type="dxa"/>
        </w:tblCellMar>
        <w:tblLook w:val="04A0" w:firstRow="1" w:lastRow="0" w:firstColumn="1" w:lastColumn="0" w:noHBand="0" w:noVBand="1"/>
      </w:tblPr>
      <w:tblGrid>
        <w:gridCol w:w="1348"/>
        <w:gridCol w:w="3960"/>
        <w:gridCol w:w="1874"/>
        <w:gridCol w:w="1395"/>
        <w:gridCol w:w="1100"/>
        <w:gridCol w:w="1117"/>
        <w:gridCol w:w="146"/>
      </w:tblGrid>
      <w:tr w:rsidR="00FF72EC" w:rsidRPr="00765010" w14:paraId="0A2D4FF7" w14:textId="77777777" w:rsidTr="003D72E2">
        <w:trPr>
          <w:gridAfter w:val="1"/>
          <w:wAfter w:w="146" w:type="dxa"/>
          <w:trHeight w:val="525"/>
        </w:trPr>
        <w:tc>
          <w:tcPr>
            <w:tcW w:w="5308" w:type="dxa"/>
            <w:gridSpan w:val="2"/>
            <w:tcBorders>
              <w:top w:val="nil"/>
              <w:left w:val="nil"/>
              <w:bottom w:val="nil"/>
              <w:right w:val="nil"/>
            </w:tcBorders>
            <w:shd w:val="clear" w:color="auto" w:fill="auto"/>
            <w:vAlign w:val="center"/>
            <w:hideMark/>
          </w:tcPr>
          <w:p w14:paraId="101A2A07" w14:textId="77777777" w:rsidR="00FF72EC" w:rsidRDefault="00FF72EC" w:rsidP="00FF72EC">
            <w:pPr>
              <w:spacing w:after="0" w:line="240" w:lineRule="auto"/>
              <w:rPr>
                <w:rFonts w:ascii="Times New Roman" w:eastAsia="Times New Roman" w:hAnsi="Times New Roman" w:cs="Times New Roman"/>
                <w:sz w:val="24"/>
                <w:szCs w:val="24"/>
              </w:rPr>
            </w:pPr>
          </w:p>
          <w:p w14:paraId="4616401C" w14:textId="77777777" w:rsidR="00765010" w:rsidRDefault="00765010" w:rsidP="00FF72EC">
            <w:pPr>
              <w:spacing w:after="0" w:line="240" w:lineRule="auto"/>
              <w:rPr>
                <w:rFonts w:ascii="Times New Roman" w:eastAsia="Times New Roman" w:hAnsi="Times New Roman" w:cs="Times New Roman"/>
                <w:sz w:val="24"/>
                <w:szCs w:val="24"/>
              </w:rPr>
            </w:pPr>
          </w:p>
          <w:p w14:paraId="7171BA14" w14:textId="77777777" w:rsidR="00765010" w:rsidRPr="00765010" w:rsidRDefault="00765010" w:rsidP="00FF72EC">
            <w:pPr>
              <w:spacing w:after="0" w:line="240" w:lineRule="auto"/>
              <w:rPr>
                <w:rFonts w:ascii="Times New Roman" w:eastAsia="Times New Roman" w:hAnsi="Times New Roman" w:cs="Times New Roman"/>
                <w:sz w:val="24"/>
                <w:szCs w:val="24"/>
              </w:rPr>
            </w:pPr>
          </w:p>
        </w:tc>
        <w:tc>
          <w:tcPr>
            <w:tcW w:w="3269" w:type="dxa"/>
            <w:gridSpan w:val="2"/>
            <w:tcBorders>
              <w:top w:val="nil"/>
              <w:left w:val="nil"/>
              <w:bottom w:val="nil"/>
              <w:right w:val="nil"/>
            </w:tcBorders>
            <w:shd w:val="clear" w:color="auto" w:fill="auto"/>
            <w:noWrap/>
            <w:vAlign w:val="center"/>
            <w:hideMark/>
          </w:tcPr>
          <w:p w14:paraId="7AB7641E" w14:textId="77777777" w:rsidR="00A57A5B" w:rsidRPr="00765010" w:rsidRDefault="00A57A5B" w:rsidP="00FF72EC">
            <w:pPr>
              <w:spacing w:after="0" w:line="240" w:lineRule="auto"/>
              <w:rPr>
                <w:rFonts w:ascii="Times New Roman" w:eastAsia="Times New Roman" w:hAnsi="Times New Roman" w:cs="Times New Roman"/>
                <w:b/>
                <w:bCs/>
                <w:i/>
                <w:iCs/>
                <w:sz w:val="24"/>
                <w:szCs w:val="24"/>
              </w:rPr>
            </w:pPr>
          </w:p>
          <w:p w14:paraId="021DCD19" w14:textId="77777777" w:rsidR="002547F5" w:rsidRDefault="002547F5" w:rsidP="002547F5">
            <w:pPr>
              <w:spacing w:after="0" w:line="240" w:lineRule="auto"/>
              <w:rPr>
                <w:rFonts w:ascii="Times New Roman" w:eastAsia="Times New Roman" w:hAnsi="Times New Roman" w:cs="Times New Roman"/>
                <w:b/>
                <w:bCs/>
                <w:sz w:val="24"/>
                <w:szCs w:val="24"/>
              </w:rPr>
            </w:pPr>
          </w:p>
          <w:p w14:paraId="53E4985D" w14:textId="77777777" w:rsidR="002547F5" w:rsidRDefault="002547F5" w:rsidP="002547F5">
            <w:pPr>
              <w:spacing w:after="0" w:line="240" w:lineRule="auto"/>
              <w:rPr>
                <w:rFonts w:ascii="Times New Roman" w:eastAsia="Times New Roman" w:hAnsi="Times New Roman" w:cs="Times New Roman"/>
                <w:b/>
                <w:bCs/>
                <w:sz w:val="24"/>
                <w:szCs w:val="24"/>
              </w:rPr>
            </w:pPr>
          </w:p>
          <w:p w14:paraId="32FC7752" w14:textId="51DE3002" w:rsidR="00FF72EC" w:rsidRPr="00765010" w:rsidRDefault="00FF72EC" w:rsidP="002547F5">
            <w:pPr>
              <w:spacing w:after="0" w:line="240" w:lineRule="auto"/>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SPZOZ</w:t>
            </w:r>
            <w:r w:rsidR="003D72E2" w:rsidRPr="00765010">
              <w:rPr>
                <w:rFonts w:ascii="Times New Roman" w:eastAsia="Times New Roman" w:hAnsi="Times New Roman" w:cs="Times New Roman"/>
                <w:b/>
                <w:bCs/>
                <w:sz w:val="24"/>
                <w:szCs w:val="24"/>
              </w:rPr>
              <w:t xml:space="preserve"> w SŁAWKOWIE</w:t>
            </w:r>
          </w:p>
        </w:tc>
        <w:tc>
          <w:tcPr>
            <w:tcW w:w="870" w:type="dxa"/>
            <w:tcBorders>
              <w:top w:val="nil"/>
              <w:left w:val="nil"/>
              <w:bottom w:val="nil"/>
              <w:right w:val="nil"/>
            </w:tcBorders>
            <w:shd w:val="clear" w:color="auto" w:fill="auto"/>
            <w:noWrap/>
            <w:vAlign w:val="center"/>
            <w:hideMark/>
          </w:tcPr>
          <w:p w14:paraId="1A7A478E" w14:textId="77777777" w:rsidR="00FF72EC" w:rsidRPr="00765010" w:rsidRDefault="00FF72EC" w:rsidP="00FF72EC">
            <w:pPr>
              <w:spacing w:after="0" w:line="240" w:lineRule="auto"/>
              <w:rPr>
                <w:rFonts w:ascii="Times New Roman" w:eastAsia="Times New Roman" w:hAnsi="Times New Roman" w:cs="Times New Roman"/>
                <w:b/>
                <w:bCs/>
                <w:i/>
                <w:iCs/>
                <w:sz w:val="24"/>
                <w:szCs w:val="24"/>
              </w:rPr>
            </w:pPr>
          </w:p>
        </w:tc>
        <w:tc>
          <w:tcPr>
            <w:tcW w:w="1117" w:type="dxa"/>
            <w:tcBorders>
              <w:top w:val="nil"/>
              <w:left w:val="nil"/>
              <w:bottom w:val="nil"/>
              <w:right w:val="nil"/>
            </w:tcBorders>
            <w:shd w:val="clear" w:color="auto" w:fill="auto"/>
            <w:noWrap/>
            <w:vAlign w:val="center"/>
            <w:hideMark/>
          </w:tcPr>
          <w:p w14:paraId="6017BFFE"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p>
        </w:tc>
      </w:tr>
      <w:tr w:rsidR="00FF72EC" w:rsidRPr="00765010" w14:paraId="3D6B397D" w14:textId="77777777" w:rsidTr="003D72E2">
        <w:trPr>
          <w:gridAfter w:val="1"/>
          <w:wAfter w:w="146" w:type="dxa"/>
          <w:trHeight w:val="555"/>
        </w:trPr>
        <w:tc>
          <w:tcPr>
            <w:tcW w:w="10564" w:type="dxa"/>
            <w:gridSpan w:val="6"/>
            <w:tcBorders>
              <w:top w:val="nil"/>
              <w:left w:val="nil"/>
              <w:bottom w:val="single" w:sz="8" w:space="0" w:color="auto"/>
              <w:right w:val="nil"/>
            </w:tcBorders>
            <w:shd w:val="clear" w:color="000000" w:fill="FFFFFF"/>
            <w:noWrap/>
            <w:vAlign w:val="center"/>
            <w:hideMark/>
          </w:tcPr>
          <w:p w14:paraId="07615E4C" w14:textId="7FD25538" w:rsidR="00FF72EC" w:rsidRPr="00765010" w:rsidRDefault="00FF72EC" w:rsidP="00FF72EC">
            <w:pPr>
              <w:spacing w:after="0" w:line="240" w:lineRule="auto"/>
              <w:jc w:val="center"/>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 xml:space="preserve">ANALIZA WSKAŹNIKOWA I PUNKTOWA SYTUACJI FINANSOWEJ </w:t>
            </w:r>
            <w:r w:rsidR="00261F39" w:rsidRPr="00765010">
              <w:rPr>
                <w:rFonts w:ascii="Times New Roman" w:eastAsia="Times New Roman" w:hAnsi="Times New Roman" w:cs="Times New Roman"/>
                <w:b/>
                <w:bCs/>
                <w:sz w:val="24"/>
                <w:szCs w:val="24"/>
              </w:rPr>
              <w:t>ZA 2023</w:t>
            </w:r>
            <w:r w:rsidR="0092042C" w:rsidRPr="00765010">
              <w:rPr>
                <w:rFonts w:ascii="Times New Roman" w:eastAsia="Times New Roman" w:hAnsi="Times New Roman" w:cs="Times New Roman"/>
                <w:b/>
                <w:bCs/>
                <w:sz w:val="24"/>
                <w:szCs w:val="24"/>
              </w:rPr>
              <w:t xml:space="preserve"> rok </w:t>
            </w:r>
          </w:p>
        </w:tc>
      </w:tr>
      <w:tr w:rsidR="00FF72EC" w:rsidRPr="00765010" w14:paraId="79A58DE7" w14:textId="77777777" w:rsidTr="003D72E2">
        <w:trPr>
          <w:gridAfter w:val="1"/>
          <w:wAfter w:w="146" w:type="dxa"/>
          <w:trHeight w:val="517"/>
        </w:trPr>
        <w:tc>
          <w:tcPr>
            <w:tcW w:w="1348" w:type="dxa"/>
            <w:vMerge w:val="restart"/>
            <w:tcBorders>
              <w:top w:val="nil"/>
              <w:left w:val="single" w:sz="8" w:space="0" w:color="auto"/>
              <w:bottom w:val="single" w:sz="4" w:space="0" w:color="000000"/>
              <w:right w:val="single" w:sz="4" w:space="0" w:color="auto"/>
            </w:tcBorders>
            <w:shd w:val="clear" w:color="000000" w:fill="FFCC00"/>
            <w:vAlign w:val="center"/>
            <w:hideMark/>
          </w:tcPr>
          <w:p w14:paraId="55894CDF"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Wskaźniki</w:t>
            </w:r>
          </w:p>
        </w:tc>
        <w:tc>
          <w:tcPr>
            <w:tcW w:w="3960" w:type="dxa"/>
            <w:vMerge w:val="restart"/>
            <w:tcBorders>
              <w:top w:val="nil"/>
              <w:left w:val="single" w:sz="4" w:space="0" w:color="auto"/>
              <w:bottom w:val="single" w:sz="4" w:space="0" w:color="000000"/>
              <w:right w:val="single" w:sz="4" w:space="0" w:color="auto"/>
            </w:tcBorders>
            <w:shd w:val="clear" w:color="000000" w:fill="FFCC00"/>
            <w:vAlign w:val="center"/>
            <w:hideMark/>
          </w:tcPr>
          <w:p w14:paraId="0F56E666"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Metoda ustalenia</w:t>
            </w:r>
          </w:p>
        </w:tc>
        <w:tc>
          <w:tcPr>
            <w:tcW w:w="1874" w:type="dxa"/>
            <w:vMerge w:val="restart"/>
            <w:tcBorders>
              <w:top w:val="nil"/>
              <w:left w:val="single" w:sz="4" w:space="0" w:color="auto"/>
              <w:bottom w:val="single" w:sz="4" w:space="0" w:color="auto"/>
              <w:right w:val="single" w:sz="4" w:space="0" w:color="auto"/>
            </w:tcBorders>
            <w:shd w:val="clear" w:color="000000" w:fill="FFCC00"/>
            <w:vAlign w:val="center"/>
            <w:hideMark/>
          </w:tcPr>
          <w:p w14:paraId="13D1934D"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Przedziały           wartości</w:t>
            </w:r>
          </w:p>
        </w:tc>
        <w:tc>
          <w:tcPr>
            <w:tcW w:w="1395" w:type="dxa"/>
            <w:vMerge w:val="restart"/>
            <w:tcBorders>
              <w:top w:val="nil"/>
              <w:left w:val="single" w:sz="4" w:space="0" w:color="auto"/>
              <w:bottom w:val="single" w:sz="4" w:space="0" w:color="000000"/>
              <w:right w:val="single" w:sz="4" w:space="0" w:color="auto"/>
            </w:tcBorders>
            <w:shd w:val="clear" w:color="000000" w:fill="FFCC00"/>
            <w:vAlign w:val="center"/>
            <w:hideMark/>
          </w:tcPr>
          <w:p w14:paraId="6A0CA5F2"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Ocena punktowa</w:t>
            </w:r>
          </w:p>
        </w:tc>
        <w:tc>
          <w:tcPr>
            <w:tcW w:w="870" w:type="dxa"/>
            <w:vMerge w:val="restart"/>
            <w:tcBorders>
              <w:top w:val="nil"/>
              <w:left w:val="single" w:sz="4" w:space="0" w:color="auto"/>
              <w:bottom w:val="single" w:sz="4" w:space="0" w:color="000000"/>
              <w:right w:val="single" w:sz="4" w:space="0" w:color="auto"/>
            </w:tcBorders>
            <w:shd w:val="clear" w:color="000000" w:fill="FFCC00"/>
            <w:vAlign w:val="center"/>
            <w:hideMark/>
          </w:tcPr>
          <w:p w14:paraId="02471EDE"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xml:space="preserve">Wskaźnik </w:t>
            </w:r>
          </w:p>
        </w:tc>
        <w:tc>
          <w:tcPr>
            <w:tcW w:w="1117" w:type="dxa"/>
            <w:vMerge w:val="restart"/>
            <w:tcBorders>
              <w:top w:val="nil"/>
              <w:left w:val="nil"/>
              <w:bottom w:val="single" w:sz="4" w:space="0" w:color="000000"/>
              <w:right w:val="single" w:sz="8" w:space="0" w:color="auto"/>
            </w:tcBorders>
            <w:shd w:val="clear" w:color="000000" w:fill="FFCC00"/>
            <w:vAlign w:val="center"/>
            <w:hideMark/>
          </w:tcPr>
          <w:p w14:paraId="7D77D7FA"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xml:space="preserve">Ocena </w:t>
            </w:r>
          </w:p>
        </w:tc>
      </w:tr>
      <w:tr w:rsidR="00FF72EC" w:rsidRPr="00FF72EC" w14:paraId="3BB3C687" w14:textId="77777777" w:rsidTr="003D72E2">
        <w:trPr>
          <w:trHeight w:val="315"/>
        </w:trPr>
        <w:tc>
          <w:tcPr>
            <w:tcW w:w="1348" w:type="dxa"/>
            <w:vMerge/>
            <w:tcBorders>
              <w:top w:val="nil"/>
              <w:left w:val="single" w:sz="8" w:space="0" w:color="auto"/>
              <w:bottom w:val="single" w:sz="4" w:space="0" w:color="000000"/>
              <w:right w:val="single" w:sz="4" w:space="0" w:color="auto"/>
            </w:tcBorders>
            <w:vAlign w:val="center"/>
            <w:hideMark/>
          </w:tcPr>
          <w:p w14:paraId="5F41C00A" w14:textId="77777777" w:rsidR="00FF72EC" w:rsidRPr="00FF72EC" w:rsidRDefault="00FF72EC" w:rsidP="00FF72EC">
            <w:pPr>
              <w:spacing w:after="0" w:line="240" w:lineRule="auto"/>
              <w:rPr>
                <w:rFonts w:ascii="Garamond" w:eastAsia="Times New Roman" w:hAnsi="Garamond" w:cs="Arial"/>
              </w:rPr>
            </w:pPr>
          </w:p>
        </w:tc>
        <w:tc>
          <w:tcPr>
            <w:tcW w:w="3960" w:type="dxa"/>
            <w:vMerge/>
            <w:tcBorders>
              <w:top w:val="nil"/>
              <w:left w:val="single" w:sz="4" w:space="0" w:color="auto"/>
              <w:bottom w:val="single" w:sz="4" w:space="0" w:color="000000"/>
              <w:right w:val="single" w:sz="4" w:space="0" w:color="auto"/>
            </w:tcBorders>
            <w:vAlign w:val="center"/>
            <w:hideMark/>
          </w:tcPr>
          <w:p w14:paraId="787139D6" w14:textId="77777777" w:rsidR="00FF72EC" w:rsidRPr="00FF72EC" w:rsidRDefault="00FF72EC" w:rsidP="00FF72EC">
            <w:pPr>
              <w:spacing w:after="0" w:line="240" w:lineRule="auto"/>
              <w:rPr>
                <w:rFonts w:ascii="Garamond" w:eastAsia="Times New Roman" w:hAnsi="Garamond" w:cs="Arial"/>
              </w:rPr>
            </w:pPr>
          </w:p>
        </w:tc>
        <w:tc>
          <w:tcPr>
            <w:tcW w:w="1874" w:type="dxa"/>
            <w:vMerge/>
            <w:tcBorders>
              <w:top w:val="single" w:sz="4" w:space="0" w:color="000000"/>
              <w:left w:val="single" w:sz="4" w:space="0" w:color="auto"/>
              <w:bottom w:val="single" w:sz="4" w:space="0" w:color="auto"/>
              <w:right w:val="single" w:sz="4" w:space="0" w:color="auto"/>
            </w:tcBorders>
            <w:vAlign w:val="center"/>
            <w:hideMark/>
          </w:tcPr>
          <w:p w14:paraId="2AC4D0C3" w14:textId="77777777" w:rsidR="00FF72EC" w:rsidRPr="00FF72EC" w:rsidRDefault="00FF72EC" w:rsidP="00FF72EC">
            <w:pPr>
              <w:spacing w:after="0" w:line="240" w:lineRule="auto"/>
              <w:rPr>
                <w:rFonts w:ascii="Garamond" w:eastAsia="Times New Roman" w:hAnsi="Garamond" w:cs="Arial"/>
                <w:sz w:val="20"/>
                <w:szCs w:val="20"/>
              </w:rPr>
            </w:pPr>
          </w:p>
        </w:tc>
        <w:tc>
          <w:tcPr>
            <w:tcW w:w="1395" w:type="dxa"/>
            <w:vMerge/>
            <w:tcBorders>
              <w:top w:val="nil"/>
              <w:left w:val="single" w:sz="4" w:space="0" w:color="auto"/>
              <w:bottom w:val="single" w:sz="4" w:space="0" w:color="000000"/>
              <w:right w:val="single" w:sz="4" w:space="0" w:color="auto"/>
            </w:tcBorders>
            <w:vAlign w:val="center"/>
            <w:hideMark/>
          </w:tcPr>
          <w:p w14:paraId="5B8992CB" w14:textId="77777777" w:rsidR="00FF72EC" w:rsidRPr="00FF72EC" w:rsidRDefault="00FF72EC" w:rsidP="00FF72EC">
            <w:pPr>
              <w:spacing w:after="0" w:line="240" w:lineRule="auto"/>
              <w:rPr>
                <w:rFonts w:ascii="Garamond" w:eastAsia="Times New Roman" w:hAnsi="Garamond" w:cs="Arial"/>
                <w:sz w:val="18"/>
                <w:szCs w:val="18"/>
              </w:rPr>
            </w:pPr>
          </w:p>
        </w:tc>
        <w:tc>
          <w:tcPr>
            <w:tcW w:w="870" w:type="dxa"/>
            <w:vMerge/>
            <w:tcBorders>
              <w:top w:val="nil"/>
              <w:left w:val="single" w:sz="4" w:space="0" w:color="auto"/>
              <w:bottom w:val="single" w:sz="4" w:space="0" w:color="000000"/>
              <w:right w:val="single" w:sz="4" w:space="0" w:color="auto"/>
            </w:tcBorders>
            <w:vAlign w:val="center"/>
            <w:hideMark/>
          </w:tcPr>
          <w:p w14:paraId="47D15A4D" w14:textId="77777777" w:rsidR="00FF72EC" w:rsidRPr="00FF72EC" w:rsidRDefault="00FF72EC" w:rsidP="00FF72EC">
            <w:pPr>
              <w:spacing w:after="0" w:line="240" w:lineRule="auto"/>
              <w:rPr>
                <w:rFonts w:ascii="Garamond" w:eastAsia="Times New Roman" w:hAnsi="Garamond" w:cs="Arial"/>
                <w:sz w:val="18"/>
                <w:szCs w:val="18"/>
              </w:rPr>
            </w:pPr>
          </w:p>
        </w:tc>
        <w:tc>
          <w:tcPr>
            <w:tcW w:w="1117" w:type="dxa"/>
            <w:vMerge/>
            <w:tcBorders>
              <w:top w:val="nil"/>
              <w:left w:val="nil"/>
              <w:bottom w:val="single" w:sz="4" w:space="0" w:color="000000"/>
              <w:right w:val="single" w:sz="8" w:space="0" w:color="auto"/>
            </w:tcBorders>
            <w:vAlign w:val="center"/>
            <w:hideMark/>
          </w:tcPr>
          <w:p w14:paraId="45820CAC" w14:textId="77777777" w:rsidR="00FF72EC" w:rsidRPr="00FF72EC" w:rsidRDefault="00FF72EC" w:rsidP="00FF72EC">
            <w:pPr>
              <w:spacing w:after="0" w:line="240" w:lineRule="auto"/>
              <w:rPr>
                <w:rFonts w:ascii="Garamond" w:eastAsia="Times New Roman" w:hAnsi="Garamond" w:cs="Arial"/>
                <w:sz w:val="18"/>
                <w:szCs w:val="18"/>
              </w:rPr>
            </w:pPr>
          </w:p>
        </w:tc>
        <w:tc>
          <w:tcPr>
            <w:tcW w:w="146" w:type="dxa"/>
            <w:tcBorders>
              <w:top w:val="nil"/>
              <w:left w:val="nil"/>
              <w:bottom w:val="nil"/>
              <w:right w:val="nil"/>
            </w:tcBorders>
            <w:shd w:val="clear" w:color="auto" w:fill="auto"/>
            <w:noWrap/>
            <w:vAlign w:val="bottom"/>
            <w:hideMark/>
          </w:tcPr>
          <w:p w14:paraId="292CEE04" w14:textId="77777777" w:rsidR="00FF72EC" w:rsidRPr="00FF72EC" w:rsidRDefault="00FF72EC" w:rsidP="00FF72EC">
            <w:pPr>
              <w:spacing w:after="0" w:line="240" w:lineRule="auto"/>
              <w:jc w:val="center"/>
              <w:rPr>
                <w:rFonts w:ascii="Garamond" w:eastAsia="Times New Roman" w:hAnsi="Garamond" w:cs="Arial"/>
                <w:sz w:val="18"/>
                <w:szCs w:val="18"/>
              </w:rPr>
            </w:pPr>
          </w:p>
        </w:tc>
      </w:tr>
      <w:tr w:rsidR="00FF72EC" w:rsidRPr="00FF72EC" w14:paraId="6767E09B" w14:textId="77777777" w:rsidTr="003D72E2">
        <w:trPr>
          <w:trHeight w:val="300"/>
        </w:trPr>
        <w:tc>
          <w:tcPr>
            <w:tcW w:w="5308" w:type="dxa"/>
            <w:gridSpan w:val="2"/>
            <w:tcBorders>
              <w:top w:val="single" w:sz="4" w:space="0" w:color="auto"/>
              <w:left w:val="single" w:sz="8" w:space="0" w:color="auto"/>
              <w:bottom w:val="single" w:sz="4" w:space="0" w:color="auto"/>
              <w:right w:val="nil"/>
            </w:tcBorders>
            <w:shd w:val="clear" w:color="000000" w:fill="969696"/>
            <w:noWrap/>
            <w:vAlign w:val="center"/>
            <w:hideMark/>
          </w:tcPr>
          <w:p w14:paraId="7AD3EFEC"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I.     WSKAŹNIKI ZYSKOWNOŚCI</w:t>
            </w:r>
          </w:p>
        </w:tc>
        <w:tc>
          <w:tcPr>
            <w:tcW w:w="1874" w:type="dxa"/>
            <w:tcBorders>
              <w:top w:val="single" w:sz="4" w:space="0" w:color="auto"/>
              <w:left w:val="nil"/>
              <w:bottom w:val="single" w:sz="4" w:space="0" w:color="auto"/>
              <w:right w:val="nil"/>
            </w:tcBorders>
            <w:shd w:val="clear" w:color="000000" w:fill="969696"/>
            <w:noWrap/>
            <w:vAlign w:val="center"/>
            <w:hideMark/>
          </w:tcPr>
          <w:p w14:paraId="2FA82A7F"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395" w:type="dxa"/>
            <w:tcBorders>
              <w:top w:val="nil"/>
              <w:left w:val="nil"/>
              <w:bottom w:val="single" w:sz="4" w:space="0" w:color="auto"/>
              <w:right w:val="nil"/>
            </w:tcBorders>
            <w:shd w:val="clear" w:color="000000" w:fill="969696"/>
            <w:noWrap/>
            <w:vAlign w:val="center"/>
            <w:hideMark/>
          </w:tcPr>
          <w:p w14:paraId="6173040E"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870" w:type="dxa"/>
            <w:tcBorders>
              <w:top w:val="nil"/>
              <w:left w:val="nil"/>
              <w:bottom w:val="single" w:sz="4" w:space="0" w:color="auto"/>
              <w:right w:val="nil"/>
            </w:tcBorders>
            <w:shd w:val="clear" w:color="000000" w:fill="969696"/>
            <w:noWrap/>
            <w:vAlign w:val="center"/>
            <w:hideMark/>
          </w:tcPr>
          <w:p w14:paraId="146F7697"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117" w:type="dxa"/>
            <w:tcBorders>
              <w:top w:val="nil"/>
              <w:left w:val="nil"/>
              <w:bottom w:val="single" w:sz="4" w:space="0" w:color="auto"/>
              <w:right w:val="single" w:sz="8" w:space="0" w:color="auto"/>
            </w:tcBorders>
            <w:shd w:val="clear" w:color="000000" w:fill="969696"/>
            <w:noWrap/>
            <w:vAlign w:val="center"/>
            <w:hideMark/>
          </w:tcPr>
          <w:p w14:paraId="132528BE" w14:textId="77777777" w:rsidR="00FF72EC" w:rsidRPr="00FF72EC" w:rsidRDefault="00FF72EC" w:rsidP="00FF72EC">
            <w:pPr>
              <w:spacing w:after="0" w:line="240" w:lineRule="auto"/>
              <w:rPr>
                <w:rFonts w:ascii="Garamond" w:eastAsia="Times New Roman" w:hAnsi="Garamond" w:cs="Arial"/>
                <w:b/>
                <w:bCs/>
              </w:rPr>
            </w:pPr>
            <w:r w:rsidRPr="00FF72EC">
              <w:rPr>
                <w:rFonts w:ascii="Garamond" w:eastAsia="Times New Roman" w:hAnsi="Garamond" w:cs="Arial"/>
                <w:b/>
                <w:bCs/>
              </w:rPr>
              <w:t> </w:t>
            </w:r>
          </w:p>
        </w:tc>
        <w:tc>
          <w:tcPr>
            <w:tcW w:w="146" w:type="dxa"/>
            <w:vAlign w:val="center"/>
            <w:hideMark/>
          </w:tcPr>
          <w:p w14:paraId="1398C91C"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45591914" w14:textId="77777777" w:rsidTr="003D72E2">
        <w:trPr>
          <w:trHeight w:val="1275"/>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1720854F" w14:textId="77777777" w:rsidR="00FF72EC" w:rsidRPr="00FF72EC" w:rsidRDefault="00FF72EC" w:rsidP="00FF72EC">
            <w:pPr>
              <w:spacing w:after="0" w:line="240" w:lineRule="auto"/>
              <w:rPr>
                <w:rFonts w:ascii="Garamond" w:eastAsia="Times New Roman" w:hAnsi="Garamond" w:cs="Arial"/>
                <w:sz w:val="20"/>
                <w:szCs w:val="20"/>
              </w:rPr>
            </w:pPr>
            <w:r w:rsidRPr="00FF72EC">
              <w:rPr>
                <w:rFonts w:ascii="Garamond" w:eastAsia="Times New Roman" w:hAnsi="Garamond" w:cs="Arial"/>
                <w:b/>
                <w:bCs/>
                <w:sz w:val="20"/>
                <w:szCs w:val="20"/>
              </w:rPr>
              <w:t xml:space="preserve">Zyskowności  netto   </w:t>
            </w:r>
            <w:r w:rsidRPr="00FF72EC">
              <w:rPr>
                <w:rFonts w:ascii="Garamond" w:eastAsia="Times New Roman" w:hAnsi="Garamond" w:cs="Arial"/>
                <w:sz w:val="20"/>
                <w:szCs w:val="20"/>
              </w:rPr>
              <w:t xml:space="preserve">                                                           </w:t>
            </w:r>
          </w:p>
        </w:tc>
        <w:tc>
          <w:tcPr>
            <w:tcW w:w="3960" w:type="dxa"/>
            <w:tcBorders>
              <w:top w:val="nil"/>
              <w:left w:val="nil"/>
              <w:bottom w:val="nil"/>
              <w:right w:val="single" w:sz="4" w:space="0" w:color="auto"/>
            </w:tcBorders>
            <w:shd w:val="clear" w:color="auto" w:fill="auto"/>
            <w:noWrap/>
            <w:vAlign w:val="bottom"/>
            <w:hideMark/>
          </w:tcPr>
          <w:p w14:paraId="55A6E9DC" w14:textId="3C9A4347" w:rsidR="00FF72EC" w:rsidRPr="00FF72EC" w:rsidRDefault="00FF72EC" w:rsidP="00FF72EC">
            <w:pPr>
              <w:spacing w:after="0" w:line="240" w:lineRule="auto"/>
              <w:rPr>
                <w:rFonts w:ascii="Arial" w:eastAsia="Times New Roman" w:hAnsi="Arial" w:cs="Arial"/>
                <w:sz w:val="20"/>
                <w:szCs w:val="20"/>
              </w:rPr>
            </w:pPr>
          </w:p>
          <w:tbl>
            <w:tblPr>
              <w:tblW w:w="0" w:type="auto"/>
              <w:tblCellSpacing w:w="0" w:type="dxa"/>
              <w:tblBorders>
                <w:bottom w:val="single" w:sz="4" w:space="0" w:color="auto"/>
              </w:tblBorders>
              <w:tblCellMar>
                <w:left w:w="0" w:type="dxa"/>
                <w:right w:w="0" w:type="dxa"/>
              </w:tblCellMar>
              <w:tblLook w:val="04A0" w:firstRow="1" w:lastRow="0" w:firstColumn="1" w:lastColumn="0" w:noHBand="0" w:noVBand="1"/>
            </w:tblPr>
            <w:tblGrid>
              <w:gridCol w:w="3820"/>
            </w:tblGrid>
            <w:tr w:rsidR="00FF72EC" w:rsidRPr="00FF72EC" w14:paraId="1B22EEC7" w14:textId="77777777" w:rsidTr="00FF72EC">
              <w:trPr>
                <w:trHeight w:val="1275"/>
                <w:tblCellSpacing w:w="0" w:type="dxa"/>
              </w:trPr>
              <w:tc>
                <w:tcPr>
                  <w:tcW w:w="3880" w:type="dxa"/>
                  <w:shd w:val="clear" w:color="auto" w:fill="auto"/>
                  <w:vAlign w:val="center"/>
                  <w:hideMark/>
                </w:tcPr>
                <w:p w14:paraId="7F6685AB" w14:textId="0513DCE1"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3120" behindDoc="0" locked="0" layoutInCell="1" allowOverlap="1" wp14:anchorId="5A0B2C18" wp14:editId="0159AF70">
                            <wp:simplePos x="0" y="0"/>
                            <wp:positionH relativeFrom="column">
                              <wp:posOffset>132715</wp:posOffset>
                            </wp:positionH>
                            <wp:positionV relativeFrom="paragraph">
                              <wp:posOffset>132715</wp:posOffset>
                            </wp:positionV>
                            <wp:extent cx="2162175" cy="13970"/>
                            <wp:effectExtent l="0" t="0" r="28575" b="24130"/>
                            <wp:wrapNone/>
                            <wp:docPr id="3" name="Łącznik prosty 3">
                              <a:extLst xmlns:a="http://schemas.openxmlformats.org/drawingml/2006/main">
                                <a:ext uri="{FF2B5EF4-FFF2-40B4-BE49-F238E27FC236}">
                                  <a16:creationId xmlns:a16="http://schemas.microsoft.com/office/drawing/2014/main" id="{0CD2772F-4479-4551-9E01-615793BED489}"/>
                                </a:ext>
                              </a:extLst>
                            </wp:docPr>
                            <wp:cNvGraphicFramePr/>
                            <a:graphic xmlns:a="http://schemas.openxmlformats.org/drawingml/2006/main">
                              <a:graphicData uri="http://schemas.microsoft.com/office/word/2010/wordprocessingShape">
                                <wps:wsp>
                                  <wps:cNvCnPr/>
                                  <wps:spPr>
                                    <a:xfrm flipV="1">
                                      <a:off x="0" y="0"/>
                                      <a:ext cx="2162175" cy="1397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0B8D6" id="Łącznik prosty 3"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0.45pt" to="18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" strokecolor="black [3040]" strokeweight="1pt"/>
                        </w:pict>
                      </mc:Fallback>
                    </mc:AlternateContent>
                  </w:r>
                  <w:r w:rsidRPr="00FF72EC">
                    <w:rPr>
                      <w:rFonts w:ascii="Garamond" w:eastAsia="Times New Roman" w:hAnsi="Garamond" w:cs="Arial"/>
                      <w:sz w:val="20"/>
                      <w:szCs w:val="20"/>
                    </w:rPr>
                    <w:t>wynik netto  x  100%                                        przychody netto ze sprzedaży produktów                                 + przychody netto ze sprzedaży towarów                               i materiałów + pozostałe przychody operacyjne                     + przychody finansowe</w:t>
                  </w:r>
                </w:p>
              </w:tc>
            </w:tr>
          </w:tbl>
          <w:p w14:paraId="262F134C"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14:paraId="77041DA0"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0,0 %                                    od 0,0% do 2,0 %                                             powyżej 2,0% do 4,0%                                                                                        powyżej 4,0%</w:t>
            </w:r>
          </w:p>
        </w:tc>
        <w:tc>
          <w:tcPr>
            <w:tcW w:w="1395" w:type="dxa"/>
            <w:tcBorders>
              <w:top w:val="nil"/>
              <w:left w:val="nil"/>
              <w:bottom w:val="single" w:sz="4" w:space="0" w:color="auto"/>
              <w:right w:val="single" w:sz="4" w:space="0" w:color="auto"/>
            </w:tcBorders>
            <w:shd w:val="clear" w:color="auto" w:fill="auto"/>
            <w:vAlign w:val="center"/>
            <w:hideMark/>
          </w:tcPr>
          <w:p w14:paraId="73F18D37"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0                          3                             4                                                                    </w:t>
            </w:r>
            <w:r w:rsidRPr="00FF72EC">
              <w:rPr>
                <w:rFonts w:ascii="Garamond" w:eastAsia="Times New Roman" w:hAnsi="Garamond" w:cs="Arial"/>
                <w:b/>
                <w:bCs/>
                <w:sz w:val="20"/>
                <w:szCs w:val="20"/>
              </w:rPr>
              <w:t>5</w:t>
            </w:r>
          </w:p>
        </w:tc>
        <w:tc>
          <w:tcPr>
            <w:tcW w:w="870" w:type="dxa"/>
            <w:tcBorders>
              <w:top w:val="nil"/>
              <w:left w:val="nil"/>
              <w:bottom w:val="single" w:sz="4" w:space="0" w:color="auto"/>
              <w:right w:val="single" w:sz="4" w:space="0" w:color="auto"/>
            </w:tcBorders>
            <w:shd w:val="clear" w:color="auto" w:fill="auto"/>
            <w:noWrap/>
            <w:vAlign w:val="center"/>
            <w:hideMark/>
          </w:tcPr>
          <w:p w14:paraId="14C36E32" w14:textId="3AEC326E" w:rsidR="00FF72EC" w:rsidRPr="00FF72EC" w:rsidRDefault="00261F39" w:rsidP="00FF72EC">
            <w:pPr>
              <w:spacing w:after="0" w:line="240" w:lineRule="auto"/>
              <w:jc w:val="center"/>
              <w:rPr>
                <w:rFonts w:ascii="Garamond" w:eastAsia="Times New Roman" w:hAnsi="Garamond" w:cs="Arial"/>
                <w:b/>
                <w:bCs/>
              </w:rPr>
            </w:pPr>
            <w:r>
              <w:rPr>
                <w:rFonts w:ascii="Garamond" w:eastAsia="Times New Roman" w:hAnsi="Garamond" w:cs="Arial"/>
                <w:b/>
                <w:bCs/>
              </w:rPr>
              <w:t>5,47</w:t>
            </w:r>
            <w:r w:rsidR="0067151A">
              <w:rPr>
                <w:rFonts w:ascii="Garamond" w:eastAsia="Times New Roman" w:hAnsi="Garamond" w:cs="Arial"/>
                <w:b/>
                <w:bCs/>
              </w:rPr>
              <w:t>%</w:t>
            </w:r>
          </w:p>
        </w:tc>
        <w:tc>
          <w:tcPr>
            <w:tcW w:w="1117" w:type="dxa"/>
            <w:tcBorders>
              <w:top w:val="nil"/>
              <w:left w:val="nil"/>
              <w:bottom w:val="single" w:sz="4" w:space="0" w:color="auto"/>
              <w:right w:val="single" w:sz="4" w:space="0" w:color="auto"/>
            </w:tcBorders>
            <w:shd w:val="clear" w:color="000000" w:fill="FFFFFF"/>
            <w:vAlign w:val="center"/>
            <w:hideMark/>
          </w:tcPr>
          <w:p w14:paraId="28672758" w14:textId="405EBDB3" w:rsidR="00FF72EC" w:rsidRPr="00FF72EC" w:rsidRDefault="00261F39" w:rsidP="00FF72EC">
            <w:pPr>
              <w:spacing w:after="0" w:line="240" w:lineRule="auto"/>
              <w:jc w:val="center"/>
              <w:rPr>
                <w:rFonts w:ascii="Garamond" w:eastAsia="Times New Roman" w:hAnsi="Garamond" w:cs="Arial"/>
                <w:b/>
                <w:bCs/>
              </w:rPr>
            </w:pPr>
            <w:r>
              <w:rPr>
                <w:rFonts w:ascii="Garamond" w:eastAsia="Times New Roman" w:hAnsi="Garamond" w:cs="Arial"/>
                <w:b/>
                <w:bCs/>
              </w:rPr>
              <w:t>5</w:t>
            </w:r>
          </w:p>
        </w:tc>
        <w:tc>
          <w:tcPr>
            <w:tcW w:w="146" w:type="dxa"/>
            <w:vAlign w:val="center"/>
            <w:hideMark/>
          </w:tcPr>
          <w:p w14:paraId="185D10C5"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34F350C6" w14:textId="77777777" w:rsidTr="003D72E2">
        <w:trPr>
          <w:trHeight w:val="1095"/>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0623E0FF"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xml:space="preserve">Zyskowności działalności operacyjnej             </w:t>
            </w:r>
          </w:p>
        </w:tc>
        <w:tc>
          <w:tcPr>
            <w:tcW w:w="3960" w:type="dxa"/>
            <w:tcBorders>
              <w:top w:val="nil"/>
              <w:left w:val="nil"/>
              <w:bottom w:val="nil"/>
              <w:right w:val="single" w:sz="4" w:space="0" w:color="auto"/>
            </w:tcBorders>
            <w:shd w:val="clear" w:color="auto" w:fill="auto"/>
            <w:noWrap/>
            <w:vAlign w:val="bottom"/>
            <w:hideMark/>
          </w:tcPr>
          <w:p w14:paraId="297B4A1D" w14:textId="24CBE470" w:rsidR="00FF72EC" w:rsidRPr="00FF72EC" w:rsidRDefault="00FF72EC" w:rsidP="00FF72EC">
            <w:pPr>
              <w:spacing w:after="0" w:line="240" w:lineRule="auto"/>
              <w:rPr>
                <w:rFonts w:ascii="Arial" w:eastAsia="Times New Roman" w:hAnsi="Arial" w:cs="Arial"/>
                <w:sz w:val="20"/>
                <w:szCs w:val="20"/>
              </w:rPr>
            </w:pPr>
          </w:p>
          <w:tbl>
            <w:tblPr>
              <w:tblW w:w="3820" w:type="dxa"/>
              <w:tblCellSpacing w:w="0" w:type="dxa"/>
              <w:tblBorders>
                <w:bottom w:val="single" w:sz="4" w:space="0" w:color="auto"/>
              </w:tblBorders>
              <w:tblCellMar>
                <w:left w:w="0" w:type="dxa"/>
                <w:right w:w="0" w:type="dxa"/>
              </w:tblCellMar>
              <w:tblLook w:val="04A0" w:firstRow="1" w:lastRow="0" w:firstColumn="1" w:lastColumn="0" w:noHBand="0" w:noVBand="1"/>
            </w:tblPr>
            <w:tblGrid>
              <w:gridCol w:w="3820"/>
            </w:tblGrid>
            <w:tr w:rsidR="00FF72EC" w:rsidRPr="00FF72EC" w14:paraId="49FC26A5" w14:textId="77777777" w:rsidTr="0094742C">
              <w:trPr>
                <w:trHeight w:val="1095"/>
                <w:tblCellSpacing w:w="0" w:type="dxa"/>
              </w:trPr>
              <w:tc>
                <w:tcPr>
                  <w:tcW w:w="3820" w:type="dxa"/>
                  <w:shd w:val="clear" w:color="auto" w:fill="auto"/>
                  <w:vAlign w:val="center"/>
                  <w:hideMark/>
                </w:tcPr>
                <w:p w14:paraId="79D70C34" w14:textId="3D076C7D"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4144" behindDoc="0" locked="0" layoutInCell="1" allowOverlap="1" wp14:anchorId="79A76C28" wp14:editId="517DE29A">
                            <wp:simplePos x="0" y="0"/>
                            <wp:positionH relativeFrom="column">
                              <wp:posOffset>69850</wp:posOffset>
                            </wp:positionH>
                            <wp:positionV relativeFrom="paragraph">
                              <wp:posOffset>141605</wp:posOffset>
                            </wp:positionV>
                            <wp:extent cx="2228850" cy="9525"/>
                            <wp:effectExtent l="0" t="0" r="19050" b="28575"/>
                            <wp:wrapNone/>
                            <wp:docPr id="7" name="Łącznik prosty 7">
                              <a:extLst xmlns:a="http://schemas.openxmlformats.org/drawingml/2006/main">
                                <a:ext uri="{FF2B5EF4-FFF2-40B4-BE49-F238E27FC236}">
                                  <a16:creationId xmlns:a16="http://schemas.microsoft.com/office/drawing/2014/main" id="{466A1A45-725E-4CD7-9D0A-279E2F84743A}"/>
                                </a:ext>
                              </a:extLst>
                            </wp:docPr>
                            <wp:cNvGraphicFramePr/>
                            <a:graphic xmlns:a="http://schemas.openxmlformats.org/drawingml/2006/main">
                              <a:graphicData uri="http://schemas.microsoft.com/office/word/2010/wordprocessingShape">
                                <wps:wsp>
                                  <wps:cNvCnPr/>
                                  <wps:spPr>
                                    <a:xfrm flipV="1">
                                      <a:off x="0" y="0"/>
                                      <a:ext cx="2228850" cy="9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9F43AD" id="Łącznik prosty 7"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15pt" to="18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" strokecolor="black [3040]" strokeweight="1pt"/>
                        </w:pict>
                      </mc:Fallback>
                    </mc:AlternateContent>
                  </w:r>
                  <w:r w:rsidRPr="00FF72EC">
                    <w:rPr>
                      <w:rFonts w:ascii="Garamond" w:eastAsia="Times New Roman" w:hAnsi="Garamond" w:cs="Arial"/>
                      <w:sz w:val="20"/>
                      <w:szCs w:val="20"/>
                    </w:rPr>
                    <w:t>wynik z działalności operacyjnej x 100%                                      przychody netto ze sprzedaży   produktów                                           + przychody netto ze sprzedaży towarów                             i materiałów + pozostałe przychody operacyjne</w:t>
                  </w:r>
                </w:p>
              </w:tc>
            </w:tr>
          </w:tbl>
          <w:p w14:paraId="6963563D"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05B3F"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0,0 %                                    od 0,0% do 3,0 %                                             powyżej 3,0% do 5,0%                                                                                        powyżej 5,0%</w:t>
            </w:r>
          </w:p>
        </w:tc>
        <w:tc>
          <w:tcPr>
            <w:tcW w:w="1395" w:type="dxa"/>
            <w:tcBorders>
              <w:top w:val="nil"/>
              <w:left w:val="nil"/>
              <w:bottom w:val="single" w:sz="4" w:space="0" w:color="auto"/>
              <w:right w:val="single" w:sz="4" w:space="0" w:color="auto"/>
            </w:tcBorders>
            <w:shd w:val="clear" w:color="auto" w:fill="auto"/>
            <w:vAlign w:val="center"/>
            <w:hideMark/>
          </w:tcPr>
          <w:p w14:paraId="79E947BD"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0                          3                             4                                                                    </w:t>
            </w:r>
            <w:r w:rsidRPr="00FF72EC">
              <w:rPr>
                <w:rFonts w:ascii="Garamond" w:eastAsia="Times New Roman" w:hAnsi="Garamond" w:cs="Arial"/>
                <w:b/>
                <w:bCs/>
                <w:sz w:val="20"/>
                <w:szCs w:val="20"/>
              </w:rPr>
              <w:t>5</w:t>
            </w:r>
          </w:p>
        </w:tc>
        <w:tc>
          <w:tcPr>
            <w:tcW w:w="870" w:type="dxa"/>
            <w:tcBorders>
              <w:top w:val="nil"/>
              <w:left w:val="nil"/>
              <w:bottom w:val="single" w:sz="4" w:space="0" w:color="auto"/>
              <w:right w:val="single" w:sz="4" w:space="0" w:color="auto"/>
            </w:tcBorders>
            <w:shd w:val="clear" w:color="auto" w:fill="auto"/>
            <w:vAlign w:val="center"/>
            <w:hideMark/>
          </w:tcPr>
          <w:p w14:paraId="05722549" w14:textId="256236EC" w:rsidR="00FF72EC" w:rsidRPr="00FF72EC" w:rsidRDefault="0067151A" w:rsidP="0067151A">
            <w:pPr>
              <w:spacing w:after="0" w:line="240" w:lineRule="auto"/>
              <w:rPr>
                <w:rFonts w:ascii="Garamond" w:eastAsia="Times New Roman" w:hAnsi="Garamond" w:cs="Arial"/>
                <w:b/>
                <w:bCs/>
              </w:rPr>
            </w:pPr>
            <w:r>
              <w:rPr>
                <w:rFonts w:ascii="Garamond" w:eastAsia="Times New Roman" w:hAnsi="Garamond" w:cs="Arial"/>
                <w:b/>
                <w:bCs/>
              </w:rPr>
              <w:t xml:space="preserve">      </w:t>
            </w:r>
            <w:r w:rsidR="00261F39">
              <w:rPr>
                <w:rFonts w:ascii="Garamond" w:eastAsia="Times New Roman" w:hAnsi="Garamond" w:cs="Arial"/>
                <w:b/>
                <w:bCs/>
              </w:rPr>
              <w:t>5,26</w:t>
            </w:r>
            <w:r>
              <w:rPr>
                <w:rFonts w:ascii="Garamond" w:eastAsia="Times New Roman" w:hAnsi="Garamond" w:cs="Arial"/>
                <w:b/>
                <w:bCs/>
              </w:rPr>
              <w:t>%</w:t>
            </w:r>
          </w:p>
        </w:tc>
        <w:tc>
          <w:tcPr>
            <w:tcW w:w="1117" w:type="dxa"/>
            <w:tcBorders>
              <w:top w:val="nil"/>
              <w:left w:val="nil"/>
              <w:bottom w:val="single" w:sz="4" w:space="0" w:color="auto"/>
              <w:right w:val="single" w:sz="4" w:space="0" w:color="auto"/>
            </w:tcBorders>
            <w:shd w:val="clear" w:color="000000" w:fill="FFFFFF"/>
            <w:vAlign w:val="center"/>
            <w:hideMark/>
          </w:tcPr>
          <w:p w14:paraId="070D0C4F" w14:textId="48610A5E" w:rsidR="00FF72EC" w:rsidRPr="00FF72EC" w:rsidRDefault="00261F39" w:rsidP="00FF72EC">
            <w:pPr>
              <w:spacing w:after="0" w:line="240" w:lineRule="auto"/>
              <w:jc w:val="center"/>
              <w:rPr>
                <w:rFonts w:ascii="Garamond" w:eastAsia="Times New Roman" w:hAnsi="Garamond" w:cs="Arial"/>
                <w:b/>
                <w:bCs/>
              </w:rPr>
            </w:pPr>
            <w:r>
              <w:rPr>
                <w:rFonts w:ascii="Garamond" w:eastAsia="Times New Roman" w:hAnsi="Garamond" w:cs="Arial"/>
                <w:b/>
                <w:bCs/>
              </w:rPr>
              <w:t>5</w:t>
            </w:r>
          </w:p>
        </w:tc>
        <w:tc>
          <w:tcPr>
            <w:tcW w:w="146" w:type="dxa"/>
            <w:vAlign w:val="center"/>
            <w:hideMark/>
          </w:tcPr>
          <w:p w14:paraId="1A9DDB50"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31C5F4F0" w14:textId="77777777" w:rsidTr="003D72E2">
        <w:trPr>
          <w:trHeight w:val="1035"/>
        </w:trPr>
        <w:tc>
          <w:tcPr>
            <w:tcW w:w="1348" w:type="dxa"/>
            <w:tcBorders>
              <w:top w:val="nil"/>
              <w:left w:val="single" w:sz="8" w:space="0" w:color="auto"/>
              <w:bottom w:val="nil"/>
              <w:right w:val="single" w:sz="4" w:space="0" w:color="auto"/>
            </w:tcBorders>
            <w:shd w:val="clear" w:color="auto" w:fill="auto"/>
            <w:vAlign w:val="center"/>
            <w:hideMark/>
          </w:tcPr>
          <w:p w14:paraId="756E850F"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Zyskowność aktywów</w:t>
            </w:r>
          </w:p>
        </w:tc>
        <w:tc>
          <w:tcPr>
            <w:tcW w:w="3960" w:type="dxa"/>
            <w:tcBorders>
              <w:top w:val="nil"/>
              <w:left w:val="nil"/>
              <w:bottom w:val="nil"/>
              <w:right w:val="single" w:sz="4" w:space="0" w:color="auto"/>
            </w:tcBorders>
            <w:shd w:val="clear" w:color="auto" w:fill="auto"/>
            <w:noWrap/>
            <w:vAlign w:val="bottom"/>
            <w:hideMark/>
          </w:tcPr>
          <w:p w14:paraId="2BF37514" w14:textId="7CE4656D" w:rsidR="00FF72EC" w:rsidRPr="00FF72EC" w:rsidRDefault="00FF72EC" w:rsidP="00FF72EC">
            <w:pPr>
              <w:spacing w:after="0" w:line="240" w:lineRule="auto"/>
              <w:rPr>
                <w:rFonts w:ascii="Arial" w:eastAsia="Times New Roman" w:hAnsi="Arial" w:cs="Arial"/>
                <w:sz w:val="20"/>
                <w:szCs w:val="20"/>
              </w:rPr>
            </w:pPr>
          </w:p>
          <w:tbl>
            <w:tblPr>
              <w:tblW w:w="3805" w:type="dxa"/>
              <w:tblCellSpacing w:w="0" w:type="dxa"/>
              <w:tblCellMar>
                <w:left w:w="0" w:type="dxa"/>
                <w:right w:w="0" w:type="dxa"/>
              </w:tblCellMar>
              <w:tblLook w:val="04A0" w:firstRow="1" w:lastRow="0" w:firstColumn="1" w:lastColumn="0" w:noHBand="0" w:noVBand="1"/>
            </w:tblPr>
            <w:tblGrid>
              <w:gridCol w:w="3805"/>
            </w:tblGrid>
            <w:tr w:rsidR="00FF72EC" w:rsidRPr="00FF72EC" w14:paraId="5440131A" w14:textId="77777777" w:rsidTr="0094742C">
              <w:trPr>
                <w:trHeight w:val="1035"/>
                <w:tblCellSpacing w:w="0" w:type="dxa"/>
              </w:trPr>
              <w:tc>
                <w:tcPr>
                  <w:tcW w:w="3805" w:type="dxa"/>
                  <w:shd w:val="clear" w:color="auto" w:fill="auto"/>
                  <w:vAlign w:val="center"/>
                  <w:hideMark/>
                </w:tcPr>
                <w:p w14:paraId="35DF5802" w14:textId="6113F7A0"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5168" behindDoc="0" locked="0" layoutInCell="1" allowOverlap="1" wp14:anchorId="26ED39C3" wp14:editId="5A99E4BE">
                            <wp:simplePos x="0" y="0"/>
                            <wp:positionH relativeFrom="column">
                              <wp:posOffset>515620</wp:posOffset>
                            </wp:positionH>
                            <wp:positionV relativeFrom="paragraph">
                              <wp:posOffset>144145</wp:posOffset>
                            </wp:positionV>
                            <wp:extent cx="1466850" cy="0"/>
                            <wp:effectExtent l="0" t="0" r="0" b="0"/>
                            <wp:wrapNone/>
                            <wp:docPr id="14" name="Łącznik prosty 14">
                              <a:extLst xmlns:a="http://schemas.openxmlformats.org/drawingml/2006/main">
                                <a:ext uri="{FF2B5EF4-FFF2-40B4-BE49-F238E27FC236}">
                                  <a16:creationId xmlns:a16="http://schemas.microsoft.com/office/drawing/2014/main" id="{232102CD-91DC-417B-A709-E897DECE6692}"/>
                                </a:ext>
                              </a:extLst>
                            </wp:docPr>
                            <wp:cNvGraphicFramePr/>
                            <a:graphic xmlns:a="http://schemas.openxmlformats.org/drawingml/2006/main">
                              <a:graphicData uri="http://schemas.microsoft.com/office/word/2010/wordprocessingShape">
                                <wps:wsp>
                                  <wps:cNvCnPr/>
                                  <wps:spPr>
                                    <a:xfrm flipV="1">
                                      <a:off x="0" y="0"/>
                                      <a:ext cx="14668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F442F1" id="Łącznik prosty 1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pt,11.35pt" to="156.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" strokecolor="black [3040]" strokeweight="1pt"/>
                        </w:pict>
                      </mc:Fallback>
                    </mc:AlternateContent>
                  </w:r>
                  <w:r w:rsidRPr="00FF72EC">
                    <w:rPr>
                      <w:rFonts w:ascii="Garamond" w:eastAsia="Times New Roman" w:hAnsi="Garamond" w:cs="Arial"/>
                      <w:sz w:val="20"/>
                      <w:szCs w:val="20"/>
                    </w:rPr>
                    <w:t>wynik netto  x 100%                                                       Średni stan aktywów</w:t>
                  </w:r>
                </w:p>
              </w:tc>
            </w:tr>
          </w:tbl>
          <w:p w14:paraId="3929A623"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single" w:sz="4" w:space="0" w:color="auto"/>
              <w:left w:val="single" w:sz="4" w:space="0" w:color="auto"/>
              <w:bottom w:val="nil"/>
              <w:right w:val="single" w:sz="4" w:space="0" w:color="auto"/>
            </w:tcBorders>
            <w:shd w:val="clear" w:color="auto" w:fill="auto"/>
            <w:vAlign w:val="center"/>
            <w:hideMark/>
          </w:tcPr>
          <w:p w14:paraId="0DD75074"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0,0 %                                    powyżej 0,0% do 2,0 %                                             powyżej 2,0% do 4,0%                                                                                        powyżej 4,0%</w:t>
            </w:r>
          </w:p>
        </w:tc>
        <w:tc>
          <w:tcPr>
            <w:tcW w:w="1395" w:type="dxa"/>
            <w:tcBorders>
              <w:top w:val="nil"/>
              <w:left w:val="nil"/>
              <w:bottom w:val="nil"/>
              <w:right w:val="single" w:sz="4" w:space="0" w:color="auto"/>
            </w:tcBorders>
            <w:shd w:val="clear" w:color="auto" w:fill="auto"/>
            <w:vAlign w:val="center"/>
            <w:hideMark/>
          </w:tcPr>
          <w:p w14:paraId="18362D69"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0                          3                             4                                                                    </w:t>
            </w:r>
            <w:r w:rsidRPr="00FF72EC">
              <w:rPr>
                <w:rFonts w:ascii="Garamond" w:eastAsia="Times New Roman" w:hAnsi="Garamond" w:cs="Arial"/>
                <w:b/>
                <w:bCs/>
                <w:sz w:val="20"/>
                <w:szCs w:val="20"/>
              </w:rPr>
              <w:t>5</w:t>
            </w:r>
          </w:p>
        </w:tc>
        <w:tc>
          <w:tcPr>
            <w:tcW w:w="870" w:type="dxa"/>
            <w:tcBorders>
              <w:top w:val="nil"/>
              <w:left w:val="nil"/>
              <w:bottom w:val="nil"/>
              <w:right w:val="single" w:sz="4" w:space="0" w:color="auto"/>
            </w:tcBorders>
            <w:shd w:val="clear" w:color="000000" w:fill="FFFFFF"/>
            <w:vAlign w:val="center"/>
            <w:hideMark/>
          </w:tcPr>
          <w:p w14:paraId="7178E29E" w14:textId="5A9541A0" w:rsidR="00FF72EC" w:rsidRPr="00FF72EC" w:rsidRDefault="00261F39" w:rsidP="00AB5BD1">
            <w:pPr>
              <w:spacing w:after="0" w:line="360" w:lineRule="auto"/>
              <w:jc w:val="center"/>
              <w:rPr>
                <w:rFonts w:ascii="Garamond" w:eastAsia="Times New Roman" w:hAnsi="Garamond" w:cs="Arial"/>
                <w:b/>
                <w:bCs/>
                <w:color w:val="000000"/>
              </w:rPr>
            </w:pPr>
            <w:r>
              <w:rPr>
                <w:rFonts w:ascii="Garamond" w:eastAsia="Times New Roman" w:hAnsi="Garamond" w:cs="Arial"/>
                <w:b/>
                <w:bCs/>
                <w:color w:val="000000"/>
              </w:rPr>
              <w:t>7,58</w:t>
            </w:r>
            <w:r w:rsidR="0067151A">
              <w:rPr>
                <w:rFonts w:ascii="Garamond" w:eastAsia="Times New Roman" w:hAnsi="Garamond" w:cs="Arial"/>
                <w:b/>
                <w:bCs/>
                <w:color w:val="000000"/>
              </w:rPr>
              <w:t>%</w:t>
            </w:r>
          </w:p>
        </w:tc>
        <w:tc>
          <w:tcPr>
            <w:tcW w:w="1117" w:type="dxa"/>
            <w:tcBorders>
              <w:top w:val="nil"/>
              <w:left w:val="nil"/>
              <w:bottom w:val="single" w:sz="4" w:space="0" w:color="auto"/>
              <w:right w:val="single" w:sz="4" w:space="0" w:color="auto"/>
            </w:tcBorders>
            <w:shd w:val="clear" w:color="000000" w:fill="FFFFFF"/>
            <w:vAlign w:val="center"/>
            <w:hideMark/>
          </w:tcPr>
          <w:p w14:paraId="459AC08F" w14:textId="400E4E83" w:rsidR="00FF72EC" w:rsidRPr="00FF72EC" w:rsidRDefault="00261F39" w:rsidP="00FF72EC">
            <w:pPr>
              <w:spacing w:after="0" w:line="240" w:lineRule="auto"/>
              <w:jc w:val="center"/>
              <w:rPr>
                <w:rFonts w:ascii="Garamond" w:eastAsia="Times New Roman" w:hAnsi="Garamond" w:cs="Arial"/>
                <w:b/>
                <w:bCs/>
              </w:rPr>
            </w:pPr>
            <w:r>
              <w:rPr>
                <w:rFonts w:ascii="Garamond" w:eastAsia="Times New Roman" w:hAnsi="Garamond" w:cs="Arial"/>
                <w:b/>
                <w:bCs/>
              </w:rPr>
              <w:t>5</w:t>
            </w:r>
          </w:p>
        </w:tc>
        <w:tc>
          <w:tcPr>
            <w:tcW w:w="146" w:type="dxa"/>
            <w:vAlign w:val="center"/>
            <w:hideMark/>
          </w:tcPr>
          <w:p w14:paraId="5CD9FCD9"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13475C30" w14:textId="77777777" w:rsidTr="003D72E2">
        <w:trPr>
          <w:trHeight w:val="390"/>
        </w:trPr>
        <w:tc>
          <w:tcPr>
            <w:tcW w:w="5308" w:type="dxa"/>
            <w:gridSpan w:val="2"/>
            <w:tcBorders>
              <w:top w:val="single" w:sz="8" w:space="0" w:color="auto"/>
              <w:left w:val="single" w:sz="8" w:space="0" w:color="auto"/>
              <w:bottom w:val="single" w:sz="8" w:space="0" w:color="auto"/>
              <w:right w:val="nil"/>
            </w:tcBorders>
            <w:shd w:val="clear" w:color="000000" w:fill="FF9900"/>
            <w:noWrap/>
            <w:vAlign w:val="center"/>
            <w:hideMark/>
          </w:tcPr>
          <w:p w14:paraId="12526871"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xml:space="preserve">          RAZEM   WSKAŹNIKI   ZYSKOWNOŚCI</w:t>
            </w:r>
          </w:p>
        </w:tc>
        <w:tc>
          <w:tcPr>
            <w:tcW w:w="1874" w:type="dxa"/>
            <w:tcBorders>
              <w:top w:val="single" w:sz="8" w:space="0" w:color="auto"/>
              <w:left w:val="single" w:sz="4" w:space="0" w:color="auto"/>
              <w:bottom w:val="single" w:sz="8" w:space="0" w:color="auto"/>
              <w:right w:val="nil"/>
            </w:tcBorders>
            <w:shd w:val="clear" w:color="000000" w:fill="FF9900"/>
            <w:vAlign w:val="center"/>
            <w:hideMark/>
          </w:tcPr>
          <w:p w14:paraId="7E7D74F0"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Maksymalna ocena  pkt.</w:t>
            </w:r>
          </w:p>
        </w:tc>
        <w:tc>
          <w:tcPr>
            <w:tcW w:w="1395" w:type="dxa"/>
            <w:tcBorders>
              <w:top w:val="single" w:sz="8" w:space="0" w:color="auto"/>
              <w:left w:val="nil"/>
              <w:bottom w:val="single" w:sz="8" w:space="0" w:color="auto"/>
              <w:right w:val="single" w:sz="4" w:space="0" w:color="auto"/>
            </w:tcBorders>
            <w:shd w:val="clear" w:color="000000" w:fill="FF9900"/>
            <w:noWrap/>
            <w:vAlign w:val="center"/>
            <w:hideMark/>
          </w:tcPr>
          <w:p w14:paraId="2DFC1CBD" w14:textId="77777777" w:rsidR="00FF72EC" w:rsidRPr="00FF72EC" w:rsidRDefault="00FF72EC" w:rsidP="00FF72EC">
            <w:pPr>
              <w:spacing w:after="0" w:line="240" w:lineRule="auto"/>
              <w:jc w:val="center"/>
              <w:rPr>
                <w:rFonts w:ascii="Garamond" w:eastAsia="Times New Roman" w:hAnsi="Garamond" w:cs="Arial"/>
                <w:b/>
                <w:bCs/>
                <w:sz w:val="20"/>
                <w:szCs w:val="20"/>
              </w:rPr>
            </w:pPr>
            <w:r w:rsidRPr="00FF72EC">
              <w:rPr>
                <w:rFonts w:ascii="Garamond" w:eastAsia="Times New Roman" w:hAnsi="Garamond" w:cs="Arial"/>
                <w:b/>
                <w:bCs/>
                <w:sz w:val="20"/>
                <w:szCs w:val="20"/>
              </w:rPr>
              <w:t>15</w:t>
            </w:r>
          </w:p>
        </w:tc>
        <w:tc>
          <w:tcPr>
            <w:tcW w:w="870" w:type="dxa"/>
            <w:tcBorders>
              <w:top w:val="single" w:sz="8" w:space="0" w:color="auto"/>
              <w:left w:val="nil"/>
              <w:bottom w:val="single" w:sz="8" w:space="0" w:color="auto"/>
              <w:right w:val="nil"/>
            </w:tcBorders>
            <w:shd w:val="clear" w:color="000000" w:fill="FF9900"/>
            <w:vAlign w:val="center"/>
            <w:hideMark/>
          </w:tcPr>
          <w:p w14:paraId="3BE75ABF" w14:textId="77777777" w:rsidR="00FF72EC" w:rsidRPr="00FF72EC" w:rsidRDefault="00FF72EC" w:rsidP="00FF72EC">
            <w:pPr>
              <w:spacing w:after="0" w:line="240" w:lineRule="auto"/>
              <w:jc w:val="center"/>
              <w:rPr>
                <w:rFonts w:ascii="Garamond" w:eastAsia="Times New Roman" w:hAnsi="Garamond" w:cs="Arial"/>
                <w:color w:val="000000"/>
                <w:sz w:val="20"/>
                <w:szCs w:val="20"/>
              </w:rPr>
            </w:pPr>
            <w:r w:rsidRPr="00FF72EC">
              <w:rPr>
                <w:rFonts w:ascii="Garamond" w:eastAsia="Times New Roman" w:hAnsi="Garamond" w:cs="Arial"/>
                <w:color w:val="000000"/>
                <w:sz w:val="20"/>
                <w:szCs w:val="20"/>
              </w:rPr>
              <w:t>Uzyskane pkt.</w:t>
            </w:r>
          </w:p>
        </w:tc>
        <w:tc>
          <w:tcPr>
            <w:tcW w:w="1117" w:type="dxa"/>
            <w:tcBorders>
              <w:top w:val="single" w:sz="8" w:space="0" w:color="auto"/>
              <w:left w:val="nil"/>
              <w:bottom w:val="single" w:sz="8" w:space="0" w:color="auto"/>
              <w:right w:val="single" w:sz="8" w:space="0" w:color="auto"/>
            </w:tcBorders>
            <w:shd w:val="clear" w:color="000000" w:fill="FF9900"/>
            <w:vAlign w:val="center"/>
            <w:hideMark/>
          </w:tcPr>
          <w:p w14:paraId="3591344B" w14:textId="54D7DC50"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1</w:t>
            </w:r>
            <w:r w:rsidR="00261F39">
              <w:rPr>
                <w:rFonts w:ascii="Garamond" w:eastAsia="Times New Roman" w:hAnsi="Garamond" w:cs="Arial"/>
                <w:b/>
                <w:bCs/>
              </w:rPr>
              <w:t>5</w:t>
            </w:r>
          </w:p>
        </w:tc>
        <w:tc>
          <w:tcPr>
            <w:tcW w:w="146" w:type="dxa"/>
            <w:vAlign w:val="center"/>
            <w:hideMark/>
          </w:tcPr>
          <w:p w14:paraId="1E8FF219"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48EB255E" w14:textId="77777777" w:rsidTr="003D72E2">
        <w:trPr>
          <w:trHeight w:val="75"/>
        </w:trPr>
        <w:tc>
          <w:tcPr>
            <w:tcW w:w="1348" w:type="dxa"/>
            <w:tcBorders>
              <w:top w:val="nil"/>
              <w:left w:val="nil"/>
              <w:bottom w:val="nil"/>
              <w:right w:val="nil"/>
            </w:tcBorders>
            <w:shd w:val="clear" w:color="000000" w:fill="FFFFFF"/>
            <w:noWrap/>
            <w:vAlign w:val="center"/>
            <w:hideMark/>
          </w:tcPr>
          <w:p w14:paraId="33A84C45"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w:t>
            </w:r>
          </w:p>
        </w:tc>
        <w:tc>
          <w:tcPr>
            <w:tcW w:w="3960" w:type="dxa"/>
            <w:tcBorders>
              <w:top w:val="nil"/>
              <w:left w:val="nil"/>
              <w:bottom w:val="nil"/>
              <w:right w:val="nil"/>
            </w:tcBorders>
            <w:shd w:val="clear" w:color="000000" w:fill="FFFFFF"/>
            <w:noWrap/>
            <w:vAlign w:val="center"/>
            <w:hideMark/>
          </w:tcPr>
          <w:p w14:paraId="5A82BAB2"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w:t>
            </w:r>
          </w:p>
        </w:tc>
        <w:tc>
          <w:tcPr>
            <w:tcW w:w="1874" w:type="dxa"/>
            <w:tcBorders>
              <w:top w:val="nil"/>
              <w:left w:val="nil"/>
              <w:bottom w:val="nil"/>
              <w:right w:val="nil"/>
            </w:tcBorders>
            <w:shd w:val="clear" w:color="000000" w:fill="FFFFFF"/>
            <w:vAlign w:val="center"/>
            <w:hideMark/>
          </w:tcPr>
          <w:p w14:paraId="64413161"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1395" w:type="dxa"/>
            <w:tcBorders>
              <w:top w:val="nil"/>
              <w:left w:val="nil"/>
              <w:bottom w:val="nil"/>
              <w:right w:val="nil"/>
            </w:tcBorders>
            <w:shd w:val="clear" w:color="000000" w:fill="FFFFFF"/>
            <w:noWrap/>
            <w:vAlign w:val="center"/>
            <w:hideMark/>
          </w:tcPr>
          <w:p w14:paraId="3410339A" w14:textId="77777777" w:rsidR="00FF72EC" w:rsidRPr="00FF72EC" w:rsidRDefault="00FF72EC" w:rsidP="00FF72EC">
            <w:pPr>
              <w:spacing w:after="0" w:line="240" w:lineRule="auto"/>
              <w:jc w:val="center"/>
              <w:rPr>
                <w:rFonts w:ascii="Garamond" w:eastAsia="Times New Roman" w:hAnsi="Garamond" w:cs="Arial"/>
                <w:b/>
                <w:bCs/>
                <w:sz w:val="20"/>
                <w:szCs w:val="20"/>
              </w:rPr>
            </w:pPr>
            <w:r w:rsidRPr="00FF72EC">
              <w:rPr>
                <w:rFonts w:ascii="Garamond" w:eastAsia="Times New Roman" w:hAnsi="Garamond" w:cs="Arial"/>
                <w:b/>
                <w:bCs/>
                <w:sz w:val="20"/>
                <w:szCs w:val="20"/>
              </w:rPr>
              <w:t> </w:t>
            </w:r>
          </w:p>
        </w:tc>
        <w:tc>
          <w:tcPr>
            <w:tcW w:w="870" w:type="dxa"/>
            <w:tcBorders>
              <w:top w:val="nil"/>
              <w:left w:val="nil"/>
              <w:bottom w:val="nil"/>
              <w:right w:val="nil"/>
            </w:tcBorders>
            <w:shd w:val="clear" w:color="000000" w:fill="FFFFFF"/>
            <w:vAlign w:val="center"/>
            <w:hideMark/>
          </w:tcPr>
          <w:p w14:paraId="6C985ADB" w14:textId="77777777" w:rsidR="00FF72EC" w:rsidRPr="00FF72EC" w:rsidRDefault="00FF72EC" w:rsidP="00FF72EC">
            <w:pPr>
              <w:spacing w:after="0" w:line="240" w:lineRule="auto"/>
              <w:jc w:val="center"/>
              <w:rPr>
                <w:rFonts w:ascii="Garamond" w:eastAsia="Times New Roman" w:hAnsi="Garamond" w:cs="Arial"/>
                <w:color w:val="000000"/>
                <w:sz w:val="20"/>
                <w:szCs w:val="20"/>
              </w:rPr>
            </w:pPr>
            <w:r w:rsidRPr="00FF72EC">
              <w:rPr>
                <w:rFonts w:ascii="Garamond" w:eastAsia="Times New Roman" w:hAnsi="Garamond" w:cs="Arial"/>
                <w:color w:val="000000"/>
                <w:sz w:val="20"/>
                <w:szCs w:val="20"/>
              </w:rPr>
              <w:t> </w:t>
            </w:r>
          </w:p>
        </w:tc>
        <w:tc>
          <w:tcPr>
            <w:tcW w:w="1117" w:type="dxa"/>
            <w:tcBorders>
              <w:top w:val="nil"/>
              <w:left w:val="nil"/>
              <w:bottom w:val="nil"/>
              <w:right w:val="nil"/>
            </w:tcBorders>
            <w:shd w:val="clear" w:color="000000" w:fill="FFFFFF"/>
            <w:vAlign w:val="center"/>
            <w:hideMark/>
          </w:tcPr>
          <w:p w14:paraId="2BE28171" w14:textId="77777777"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 </w:t>
            </w:r>
          </w:p>
        </w:tc>
        <w:tc>
          <w:tcPr>
            <w:tcW w:w="146" w:type="dxa"/>
            <w:vAlign w:val="center"/>
            <w:hideMark/>
          </w:tcPr>
          <w:p w14:paraId="2B8C8586"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0B236569" w14:textId="77777777" w:rsidTr="003D72E2">
        <w:trPr>
          <w:trHeight w:val="315"/>
        </w:trPr>
        <w:tc>
          <w:tcPr>
            <w:tcW w:w="5308" w:type="dxa"/>
            <w:gridSpan w:val="2"/>
            <w:tcBorders>
              <w:top w:val="single" w:sz="8" w:space="0" w:color="auto"/>
              <w:left w:val="single" w:sz="8" w:space="0" w:color="auto"/>
              <w:bottom w:val="single" w:sz="4" w:space="0" w:color="auto"/>
              <w:right w:val="nil"/>
            </w:tcBorders>
            <w:shd w:val="clear" w:color="000000" w:fill="969696"/>
            <w:noWrap/>
            <w:vAlign w:val="center"/>
            <w:hideMark/>
          </w:tcPr>
          <w:p w14:paraId="00057021"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II.     WSKAŹNIKI PŁYNNOŚCI</w:t>
            </w:r>
          </w:p>
        </w:tc>
        <w:tc>
          <w:tcPr>
            <w:tcW w:w="1874" w:type="dxa"/>
            <w:tcBorders>
              <w:top w:val="single" w:sz="8" w:space="0" w:color="auto"/>
              <w:left w:val="nil"/>
              <w:right w:val="nil"/>
            </w:tcBorders>
            <w:shd w:val="clear" w:color="000000" w:fill="969696"/>
            <w:noWrap/>
            <w:vAlign w:val="center"/>
            <w:hideMark/>
          </w:tcPr>
          <w:p w14:paraId="6BAB4175"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395" w:type="dxa"/>
            <w:tcBorders>
              <w:top w:val="single" w:sz="8" w:space="0" w:color="auto"/>
              <w:left w:val="nil"/>
              <w:bottom w:val="single" w:sz="4" w:space="0" w:color="auto"/>
              <w:right w:val="nil"/>
            </w:tcBorders>
            <w:shd w:val="clear" w:color="000000" w:fill="969696"/>
            <w:noWrap/>
            <w:vAlign w:val="center"/>
            <w:hideMark/>
          </w:tcPr>
          <w:p w14:paraId="23FB0A70"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870" w:type="dxa"/>
            <w:tcBorders>
              <w:top w:val="single" w:sz="8" w:space="0" w:color="auto"/>
              <w:left w:val="nil"/>
              <w:bottom w:val="single" w:sz="4" w:space="0" w:color="auto"/>
              <w:right w:val="nil"/>
            </w:tcBorders>
            <w:shd w:val="clear" w:color="000000" w:fill="969696"/>
            <w:noWrap/>
            <w:vAlign w:val="center"/>
            <w:hideMark/>
          </w:tcPr>
          <w:p w14:paraId="70CC1F5C"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117" w:type="dxa"/>
            <w:tcBorders>
              <w:top w:val="single" w:sz="8" w:space="0" w:color="auto"/>
              <w:left w:val="nil"/>
              <w:bottom w:val="single" w:sz="4" w:space="0" w:color="auto"/>
              <w:right w:val="single" w:sz="8" w:space="0" w:color="auto"/>
            </w:tcBorders>
            <w:shd w:val="clear" w:color="000000" w:fill="969696"/>
            <w:noWrap/>
            <w:vAlign w:val="center"/>
            <w:hideMark/>
          </w:tcPr>
          <w:p w14:paraId="61DC00DC" w14:textId="77777777" w:rsidR="00FF72EC" w:rsidRPr="00FF72EC" w:rsidRDefault="00FF72EC" w:rsidP="00FF72EC">
            <w:pPr>
              <w:spacing w:after="0" w:line="240" w:lineRule="auto"/>
              <w:rPr>
                <w:rFonts w:ascii="Garamond" w:eastAsia="Times New Roman" w:hAnsi="Garamond" w:cs="Arial"/>
                <w:b/>
                <w:bCs/>
              </w:rPr>
            </w:pPr>
            <w:r w:rsidRPr="00FF72EC">
              <w:rPr>
                <w:rFonts w:ascii="Garamond" w:eastAsia="Times New Roman" w:hAnsi="Garamond" w:cs="Arial"/>
                <w:b/>
                <w:bCs/>
              </w:rPr>
              <w:t> </w:t>
            </w:r>
          </w:p>
        </w:tc>
        <w:tc>
          <w:tcPr>
            <w:tcW w:w="146" w:type="dxa"/>
            <w:vAlign w:val="center"/>
            <w:hideMark/>
          </w:tcPr>
          <w:p w14:paraId="5019DC40"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0A4E428C" w14:textId="77777777" w:rsidTr="003D72E2">
        <w:trPr>
          <w:trHeight w:val="2100"/>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67F61EAC"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Płynności bieżącej</w:t>
            </w:r>
          </w:p>
        </w:tc>
        <w:tc>
          <w:tcPr>
            <w:tcW w:w="3960" w:type="dxa"/>
            <w:tcBorders>
              <w:top w:val="nil"/>
              <w:left w:val="nil"/>
              <w:bottom w:val="single" w:sz="4" w:space="0" w:color="auto"/>
              <w:right w:val="single" w:sz="4" w:space="0" w:color="auto"/>
            </w:tcBorders>
            <w:shd w:val="clear" w:color="auto" w:fill="auto"/>
            <w:noWrap/>
            <w:vAlign w:val="bottom"/>
            <w:hideMark/>
          </w:tcPr>
          <w:p w14:paraId="680388CB" w14:textId="3419E77A" w:rsidR="00FF72EC" w:rsidRPr="00FF72EC" w:rsidRDefault="00FF72EC" w:rsidP="00FF72EC">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3820"/>
            </w:tblGrid>
            <w:tr w:rsidR="00FF72EC" w:rsidRPr="00FF72EC" w14:paraId="28C4F16F" w14:textId="77777777" w:rsidTr="0094742C">
              <w:trPr>
                <w:trHeight w:val="1907"/>
                <w:tblCellSpacing w:w="0" w:type="dxa"/>
              </w:trPr>
              <w:tc>
                <w:tcPr>
                  <w:tcW w:w="3880" w:type="dxa"/>
                  <w:shd w:val="clear" w:color="auto" w:fill="auto"/>
                  <w:vAlign w:val="center"/>
                  <w:hideMark/>
                </w:tcPr>
                <w:p w14:paraId="6AA3CB8E" w14:textId="60D203CB"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6192" behindDoc="0" locked="0" layoutInCell="1" allowOverlap="1" wp14:anchorId="75CDB1CC" wp14:editId="5E848EFB">
                            <wp:simplePos x="0" y="0"/>
                            <wp:positionH relativeFrom="column">
                              <wp:posOffset>63500</wp:posOffset>
                            </wp:positionH>
                            <wp:positionV relativeFrom="paragraph">
                              <wp:posOffset>565785</wp:posOffset>
                            </wp:positionV>
                            <wp:extent cx="2324100" cy="3810"/>
                            <wp:effectExtent l="0" t="0" r="19050" b="34290"/>
                            <wp:wrapNone/>
                            <wp:docPr id="19" name="Łącznik prosty 19">
                              <a:extLst xmlns:a="http://schemas.openxmlformats.org/drawingml/2006/main">
                                <a:ext uri="{FF2B5EF4-FFF2-40B4-BE49-F238E27FC236}">
                                  <a16:creationId xmlns:a16="http://schemas.microsoft.com/office/drawing/2014/main" id="{8A23D42C-B07C-4ABA-9FEB-76FB0BCB344F}"/>
                                </a:ext>
                              </a:extLst>
                            </wp:docPr>
                            <wp:cNvGraphicFramePr/>
                            <a:graphic xmlns:a="http://schemas.openxmlformats.org/drawingml/2006/main">
                              <a:graphicData uri="http://schemas.microsoft.com/office/word/2010/wordprocessingShape">
                                <wps:wsp>
                                  <wps:cNvCnPr/>
                                  <wps:spPr>
                                    <a:xfrm flipV="1">
                                      <a:off x="0" y="0"/>
                                      <a:ext cx="2324100" cy="38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2A835E" id="Łącznik prosty 19"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4.55pt" to="18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" strokecolor="black [3040]" strokeweight="1pt"/>
                        </w:pict>
                      </mc:Fallback>
                    </mc:AlternateContent>
                  </w:r>
                  <w:r w:rsidRPr="00FF72EC">
                    <w:rPr>
                      <w:rFonts w:ascii="Garamond" w:eastAsia="Times New Roman" w:hAnsi="Garamond" w:cs="Arial"/>
                      <w:sz w:val="20"/>
                      <w:szCs w:val="20"/>
                    </w:rPr>
                    <w:t>aktywa obrotowe - należności krótkoterminowe                       z tytułu dostaw i usług, o okresie spłaty powyżej 12 miesięcy - krótkoterminowe rozliczenia międzyokresowe (czynne)                                                                                                                 zobowiązania krótkoterminowe - zobowiązania                    z tytułu dostaw i usług, o okresie wymagalności powyżej 12  miesięcy + rezerwy na zobowiązania krótkoterminowe</w:t>
                  </w:r>
                </w:p>
              </w:tc>
            </w:tr>
          </w:tbl>
          <w:p w14:paraId="266F09EA"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nil"/>
              <w:left w:val="single" w:sz="4" w:space="0" w:color="auto"/>
              <w:bottom w:val="single" w:sz="4" w:space="0" w:color="auto"/>
              <w:right w:val="single" w:sz="4" w:space="0" w:color="auto"/>
            </w:tcBorders>
            <w:shd w:val="clear" w:color="auto" w:fill="auto"/>
            <w:hideMark/>
          </w:tcPr>
          <w:p w14:paraId="0CDC20A4"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0,6                                     od 0,60 do 1,00                              powyżej 1,00 do 1,50                                             powyżej 1,5 do 3,00                                                                                        powyżej 3,00 lub jeżeli zobowiązania krótkoterminowe = 0 zł</w:t>
            </w:r>
          </w:p>
        </w:tc>
        <w:tc>
          <w:tcPr>
            <w:tcW w:w="1395" w:type="dxa"/>
            <w:tcBorders>
              <w:top w:val="nil"/>
              <w:left w:val="nil"/>
              <w:bottom w:val="single" w:sz="4" w:space="0" w:color="auto"/>
              <w:right w:val="single" w:sz="4" w:space="0" w:color="auto"/>
            </w:tcBorders>
            <w:shd w:val="clear" w:color="auto" w:fill="auto"/>
            <w:hideMark/>
          </w:tcPr>
          <w:p w14:paraId="73DCE3C1"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0                          4                                                    8                             </w:t>
            </w:r>
            <w:r w:rsidRPr="00FF72EC">
              <w:rPr>
                <w:rFonts w:ascii="Garamond" w:eastAsia="Times New Roman" w:hAnsi="Garamond" w:cs="Arial"/>
                <w:b/>
                <w:bCs/>
                <w:sz w:val="20"/>
                <w:szCs w:val="20"/>
              </w:rPr>
              <w:t xml:space="preserve">12  </w:t>
            </w:r>
            <w:r w:rsidRPr="00FF72EC">
              <w:rPr>
                <w:rFonts w:ascii="Garamond" w:eastAsia="Times New Roman" w:hAnsi="Garamond" w:cs="Arial"/>
                <w:sz w:val="20"/>
                <w:szCs w:val="20"/>
              </w:rPr>
              <w:t xml:space="preserve">                                                                  10</w:t>
            </w:r>
          </w:p>
        </w:tc>
        <w:tc>
          <w:tcPr>
            <w:tcW w:w="870" w:type="dxa"/>
            <w:tcBorders>
              <w:top w:val="nil"/>
              <w:left w:val="nil"/>
              <w:bottom w:val="single" w:sz="4" w:space="0" w:color="auto"/>
              <w:right w:val="single" w:sz="4" w:space="0" w:color="auto"/>
            </w:tcBorders>
            <w:shd w:val="clear" w:color="auto" w:fill="auto"/>
            <w:vAlign w:val="center"/>
            <w:hideMark/>
          </w:tcPr>
          <w:p w14:paraId="7C1A5B72" w14:textId="64B78A42" w:rsidR="00FF72EC" w:rsidRPr="00FF72EC" w:rsidRDefault="0067151A" w:rsidP="00FF72EC">
            <w:pPr>
              <w:spacing w:after="0" w:line="240" w:lineRule="auto"/>
              <w:jc w:val="center"/>
              <w:rPr>
                <w:rFonts w:ascii="Garamond" w:eastAsia="Times New Roman" w:hAnsi="Garamond" w:cs="Arial"/>
                <w:b/>
                <w:bCs/>
              </w:rPr>
            </w:pPr>
            <w:r>
              <w:rPr>
                <w:rFonts w:ascii="Garamond" w:eastAsia="Times New Roman" w:hAnsi="Garamond" w:cs="Arial"/>
                <w:b/>
                <w:bCs/>
              </w:rPr>
              <w:t>8,</w:t>
            </w:r>
            <w:r w:rsidR="00261F39">
              <w:rPr>
                <w:rFonts w:ascii="Garamond" w:eastAsia="Times New Roman" w:hAnsi="Garamond" w:cs="Arial"/>
                <w:b/>
                <w:bCs/>
              </w:rPr>
              <w:t>53</w:t>
            </w:r>
          </w:p>
        </w:tc>
        <w:tc>
          <w:tcPr>
            <w:tcW w:w="1117" w:type="dxa"/>
            <w:tcBorders>
              <w:top w:val="nil"/>
              <w:left w:val="nil"/>
              <w:bottom w:val="single" w:sz="4" w:space="0" w:color="auto"/>
              <w:right w:val="single" w:sz="4" w:space="0" w:color="auto"/>
            </w:tcBorders>
            <w:shd w:val="clear" w:color="000000" w:fill="FFFFFF"/>
            <w:vAlign w:val="center"/>
            <w:hideMark/>
          </w:tcPr>
          <w:p w14:paraId="1A3319D4" w14:textId="3B84C3E8"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1</w:t>
            </w:r>
            <w:r w:rsidR="00AB5BD1">
              <w:rPr>
                <w:rFonts w:ascii="Garamond" w:eastAsia="Times New Roman" w:hAnsi="Garamond" w:cs="Arial"/>
                <w:b/>
                <w:bCs/>
              </w:rPr>
              <w:t>0</w:t>
            </w:r>
          </w:p>
        </w:tc>
        <w:tc>
          <w:tcPr>
            <w:tcW w:w="146" w:type="dxa"/>
            <w:vAlign w:val="center"/>
            <w:hideMark/>
          </w:tcPr>
          <w:p w14:paraId="3572A5C5"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588FE32C" w14:textId="77777777" w:rsidTr="003D72E2">
        <w:trPr>
          <w:trHeight w:val="2100"/>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775BAF60"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Płynności szybkiej</w:t>
            </w:r>
          </w:p>
        </w:tc>
        <w:tc>
          <w:tcPr>
            <w:tcW w:w="3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3F0C3" w14:textId="5B418C00" w:rsidR="00FF72EC" w:rsidRPr="00FF72EC" w:rsidRDefault="00FF72EC" w:rsidP="00FF72EC">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3820"/>
            </w:tblGrid>
            <w:tr w:rsidR="00FF72EC" w:rsidRPr="00FF72EC" w14:paraId="43622857" w14:textId="77777777" w:rsidTr="0094742C">
              <w:trPr>
                <w:trHeight w:val="2100"/>
                <w:tblCellSpacing w:w="0" w:type="dxa"/>
              </w:trPr>
              <w:tc>
                <w:tcPr>
                  <w:tcW w:w="3880" w:type="dxa"/>
                  <w:shd w:val="clear" w:color="000000" w:fill="FFFFFF"/>
                  <w:vAlign w:val="center"/>
                  <w:hideMark/>
                </w:tcPr>
                <w:p w14:paraId="7C18181E" w14:textId="7CA4C51F"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8240" behindDoc="0" locked="0" layoutInCell="1" allowOverlap="1" wp14:anchorId="6F2AD5A5" wp14:editId="4531F5C8">
                            <wp:simplePos x="0" y="0"/>
                            <wp:positionH relativeFrom="column">
                              <wp:posOffset>73660</wp:posOffset>
                            </wp:positionH>
                            <wp:positionV relativeFrom="paragraph">
                              <wp:posOffset>581660</wp:posOffset>
                            </wp:positionV>
                            <wp:extent cx="2245995" cy="3810"/>
                            <wp:effectExtent l="0" t="0" r="20955" b="34290"/>
                            <wp:wrapNone/>
                            <wp:docPr id="24" name="Łącznik prosty 24">
                              <a:extLst xmlns:a="http://schemas.openxmlformats.org/drawingml/2006/main">
                                <a:ext uri="{FF2B5EF4-FFF2-40B4-BE49-F238E27FC236}">
                                  <a16:creationId xmlns:a16="http://schemas.microsoft.com/office/drawing/2014/main" id="{F80A540D-0B74-4721-8F39-73D5790BE011}"/>
                                </a:ext>
                              </a:extLst>
                            </wp:docPr>
                            <wp:cNvGraphicFramePr/>
                            <a:graphic xmlns:a="http://schemas.openxmlformats.org/drawingml/2006/main">
                              <a:graphicData uri="http://schemas.microsoft.com/office/word/2010/wordprocessingShape">
                                <wps:wsp>
                                  <wps:cNvCnPr/>
                                  <wps:spPr>
                                    <a:xfrm flipV="1">
                                      <a:off x="0" y="0"/>
                                      <a:ext cx="2245995" cy="381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BBAE66" id="Łącznik prosty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5.8pt" to="182.6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" strokecolor="black [3040]" strokeweight="1pt"/>
                        </w:pict>
                      </mc:Fallback>
                    </mc:AlternateContent>
                  </w:r>
                  <w:r w:rsidRPr="00FF72EC">
                    <w:rPr>
                      <w:rFonts w:ascii="Garamond" w:eastAsia="Times New Roman" w:hAnsi="Garamond" w:cs="Arial"/>
                      <w:sz w:val="20"/>
                      <w:szCs w:val="20"/>
                    </w:rPr>
                    <w:t>aktywa obrotowe - należności krótkoterminowe                          z tytułu dostaw i usług, o okresie spłaty powyżej 12 miesięcy - krótkoterminowe rozliczenia międzyokresowe (czynne) - zapasy                                            zobowiązania krótkoterminowe - zobowiązania                               z tytułu dostaw i usług, o okresie wymagalności powyżej 12 miesięcy + rezerwy na zobowiązania krótkoterminowe</w:t>
                  </w:r>
                </w:p>
              </w:tc>
            </w:tr>
          </w:tbl>
          <w:p w14:paraId="27B26BBF"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nil"/>
              <w:left w:val="single" w:sz="4" w:space="0" w:color="auto"/>
              <w:bottom w:val="single" w:sz="4" w:space="0" w:color="auto"/>
              <w:right w:val="single" w:sz="4" w:space="0" w:color="auto"/>
            </w:tcBorders>
            <w:shd w:val="clear" w:color="000000" w:fill="FFFFFF"/>
            <w:hideMark/>
          </w:tcPr>
          <w:p w14:paraId="02DC4593"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0,50                                    powyżej 0,50 do 1,00                                             powyżej 1,00 do 2,50                                                                                       powyżej 2,50 lub jeżeli zobowiązania krótkoterminowe = 0 zł</w:t>
            </w:r>
          </w:p>
        </w:tc>
        <w:tc>
          <w:tcPr>
            <w:tcW w:w="1395" w:type="dxa"/>
            <w:tcBorders>
              <w:top w:val="nil"/>
              <w:left w:val="nil"/>
              <w:bottom w:val="single" w:sz="4" w:space="0" w:color="auto"/>
              <w:right w:val="single" w:sz="4" w:space="0" w:color="auto"/>
            </w:tcBorders>
            <w:shd w:val="clear" w:color="auto" w:fill="auto"/>
            <w:hideMark/>
          </w:tcPr>
          <w:p w14:paraId="5765BAF1"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0                          8                             </w:t>
            </w:r>
            <w:r w:rsidRPr="00FF72EC">
              <w:rPr>
                <w:rFonts w:ascii="Garamond" w:eastAsia="Times New Roman" w:hAnsi="Garamond" w:cs="Arial"/>
                <w:b/>
                <w:bCs/>
                <w:sz w:val="20"/>
                <w:szCs w:val="20"/>
              </w:rPr>
              <w:t xml:space="preserve">13 </w:t>
            </w:r>
            <w:r w:rsidRPr="00FF72EC">
              <w:rPr>
                <w:rFonts w:ascii="Garamond" w:eastAsia="Times New Roman" w:hAnsi="Garamond" w:cs="Arial"/>
                <w:sz w:val="20"/>
                <w:szCs w:val="20"/>
              </w:rPr>
              <w:t xml:space="preserve">                                                                   10</w:t>
            </w:r>
          </w:p>
        </w:tc>
        <w:tc>
          <w:tcPr>
            <w:tcW w:w="870" w:type="dxa"/>
            <w:tcBorders>
              <w:top w:val="nil"/>
              <w:left w:val="nil"/>
              <w:bottom w:val="single" w:sz="4" w:space="0" w:color="auto"/>
              <w:right w:val="single" w:sz="4" w:space="0" w:color="auto"/>
            </w:tcBorders>
            <w:shd w:val="clear" w:color="auto" w:fill="auto"/>
            <w:vAlign w:val="center"/>
            <w:hideMark/>
          </w:tcPr>
          <w:p w14:paraId="74C1A5A3" w14:textId="0F688D58" w:rsidR="00FF72EC" w:rsidRPr="00FF72EC" w:rsidRDefault="0067151A" w:rsidP="00FF72EC">
            <w:pPr>
              <w:spacing w:after="0" w:line="240" w:lineRule="auto"/>
              <w:jc w:val="center"/>
              <w:rPr>
                <w:rFonts w:ascii="Garamond" w:eastAsia="Times New Roman" w:hAnsi="Garamond" w:cs="Arial"/>
                <w:b/>
                <w:bCs/>
              </w:rPr>
            </w:pPr>
            <w:r>
              <w:rPr>
                <w:rFonts w:ascii="Garamond" w:eastAsia="Times New Roman" w:hAnsi="Garamond" w:cs="Arial"/>
                <w:b/>
                <w:bCs/>
              </w:rPr>
              <w:t>8</w:t>
            </w:r>
            <w:r w:rsidR="00261F39">
              <w:rPr>
                <w:rFonts w:ascii="Garamond" w:eastAsia="Times New Roman" w:hAnsi="Garamond" w:cs="Arial"/>
                <w:b/>
                <w:bCs/>
              </w:rPr>
              <w:t>,53</w:t>
            </w:r>
          </w:p>
        </w:tc>
        <w:tc>
          <w:tcPr>
            <w:tcW w:w="1117" w:type="dxa"/>
            <w:tcBorders>
              <w:top w:val="nil"/>
              <w:left w:val="nil"/>
              <w:bottom w:val="single" w:sz="4" w:space="0" w:color="auto"/>
              <w:right w:val="single" w:sz="4" w:space="0" w:color="auto"/>
            </w:tcBorders>
            <w:shd w:val="clear" w:color="000000" w:fill="FFFFFF"/>
            <w:vAlign w:val="center"/>
            <w:hideMark/>
          </w:tcPr>
          <w:p w14:paraId="43FC593F" w14:textId="77777777"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10</w:t>
            </w:r>
          </w:p>
        </w:tc>
        <w:tc>
          <w:tcPr>
            <w:tcW w:w="146" w:type="dxa"/>
            <w:vAlign w:val="center"/>
            <w:hideMark/>
          </w:tcPr>
          <w:p w14:paraId="42F8A99E"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7408F5EA" w14:textId="77777777" w:rsidTr="003D72E2">
        <w:trPr>
          <w:trHeight w:val="375"/>
        </w:trPr>
        <w:tc>
          <w:tcPr>
            <w:tcW w:w="5308" w:type="dxa"/>
            <w:gridSpan w:val="2"/>
            <w:tcBorders>
              <w:top w:val="single" w:sz="4" w:space="0" w:color="auto"/>
              <w:left w:val="single" w:sz="4" w:space="0" w:color="auto"/>
              <w:bottom w:val="single" w:sz="4" w:space="0" w:color="auto"/>
              <w:right w:val="nil"/>
            </w:tcBorders>
            <w:shd w:val="clear" w:color="000000" w:fill="FF9900"/>
            <w:noWrap/>
            <w:vAlign w:val="center"/>
            <w:hideMark/>
          </w:tcPr>
          <w:p w14:paraId="230AE17C"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xml:space="preserve">          RAZEM   WSKAŹNIKI   PŁYNNOŚCI</w:t>
            </w:r>
          </w:p>
        </w:tc>
        <w:tc>
          <w:tcPr>
            <w:tcW w:w="1874" w:type="dxa"/>
            <w:tcBorders>
              <w:top w:val="single" w:sz="4" w:space="0" w:color="auto"/>
              <w:left w:val="single" w:sz="4" w:space="0" w:color="auto"/>
              <w:bottom w:val="single" w:sz="4" w:space="0" w:color="auto"/>
              <w:right w:val="single" w:sz="4" w:space="0" w:color="auto"/>
            </w:tcBorders>
            <w:shd w:val="clear" w:color="000000" w:fill="FF9900"/>
            <w:vAlign w:val="center"/>
            <w:hideMark/>
          </w:tcPr>
          <w:p w14:paraId="737904FF"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Maksymalna ocena  pkt.</w:t>
            </w:r>
          </w:p>
        </w:tc>
        <w:tc>
          <w:tcPr>
            <w:tcW w:w="1395" w:type="dxa"/>
            <w:tcBorders>
              <w:top w:val="single" w:sz="4" w:space="0" w:color="auto"/>
              <w:left w:val="single" w:sz="4" w:space="0" w:color="auto"/>
              <w:bottom w:val="single" w:sz="4" w:space="0" w:color="auto"/>
              <w:right w:val="single" w:sz="4" w:space="0" w:color="auto"/>
            </w:tcBorders>
            <w:shd w:val="clear" w:color="000000" w:fill="FF9900"/>
            <w:noWrap/>
            <w:vAlign w:val="center"/>
            <w:hideMark/>
          </w:tcPr>
          <w:p w14:paraId="04C19843" w14:textId="062EE993" w:rsidR="00FF72EC" w:rsidRPr="00FF72EC" w:rsidRDefault="00FF72EC" w:rsidP="00FF72EC">
            <w:pPr>
              <w:spacing w:after="0" w:line="240" w:lineRule="auto"/>
              <w:jc w:val="center"/>
              <w:rPr>
                <w:rFonts w:ascii="Garamond" w:eastAsia="Times New Roman" w:hAnsi="Garamond" w:cs="Arial"/>
                <w:b/>
                <w:bCs/>
                <w:sz w:val="20"/>
                <w:szCs w:val="20"/>
              </w:rPr>
            </w:pPr>
            <w:r w:rsidRPr="00FF72EC">
              <w:rPr>
                <w:rFonts w:ascii="Garamond" w:eastAsia="Times New Roman" w:hAnsi="Garamond" w:cs="Arial"/>
                <w:b/>
                <w:bCs/>
                <w:sz w:val="20"/>
                <w:szCs w:val="20"/>
              </w:rPr>
              <w:t>2</w:t>
            </w:r>
            <w:r w:rsidR="000D2234">
              <w:rPr>
                <w:rFonts w:ascii="Garamond" w:eastAsia="Times New Roman" w:hAnsi="Garamond" w:cs="Arial"/>
                <w:b/>
                <w:bCs/>
                <w:sz w:val="20"/>
                <w:szCs w:val="20"/>
              </w:rPr>
              <w:t>5</w:t>
            </w:r>
          </w:p>
        </w:tc>
        <w:tc>
          <w:tcPr>
            <w:tcW w:w="870" w:type="dxa"/>
            <w:tcBorders>
              <w:top w:val="single" w:sz="4" w:space="0" w:color="auto"/>
              <w:left w:val="nil"/>
              <w:bottom w:val="single" w:sz="4" w:space="0" w:color="auto"/>
              <w:right w:val="single" w:sz="4" w:space="0" w:color="auto"/>
            </w:tcBorders>
            <w:shd w:val="clear" w:color="000000" w:fill="FF9900"/>
            <w:vAlign w:val="center"/>
            <w:hideMark/>
          </w:tcPr>
          <w:p w14:paraId="11FAEBEE" w14:textId="77777777" w:rsidR="00FF72EC" w:rsidRPr="00FF72EC" w:rsidRDefault="00FF72EC" w:rsidP="00FF72EC">
            <w:pPr>
              <w:spacing w:after="0" w:line="240" w:lineRule="auto"/>
              <w:jc w:val="center"/>
              <w:rPr>
                <w:rFonts w:ascii="Garamond" w:eastAsia="Times New Roman" w:hAnsi="Garamond" w:cs="Arial"/>
                <w:color w:val="000000"/>
                <w:sz w:val="20"/>
                <w:szCs w:val="20"/>
              </w:rPr>
            </w:pPr>
            <w:r w:rsidRPr="00FF72EC">
              <w:rPr>
                <w:rFonts w:ascii="Garamond" w:eastAsia="Times New Roman" w:hAnsi="Garamond" w:cs="Arial"/>
                <w:color w:val="000000"/>
                <w:sz w:val="20"/>
                <w:szCs w:val="20"/>
              </w:rPr>
              <w:t>Uzyskane pkt.</w:t>
            </w:r>
          </w:p>
        </w:tc>
        <w:tc>
          <w:tcPr>
            <w:tcW w:w="1117" w:type="dxa"/>
            <w:tcBorders>
              <w:top w:val="single" w:sz="4" w:space="0" w:color="auto"/>
              <w:left w:val="single" w:sz="4" w:space="0" w:color="auto"/>
              <w:bottom w:val="single" w:sz="4" w:space="0" w:color="auto"/>
              <w:right w:val="single" w:sz="4" w:space="0" w:color="auto"/>
            </w:tcBorders>
            <w:shd w:val="clear" w:color="000000" w:fill="FF9900"/>
            <w:vAlign w:val="center"/>
            <w:hideMark/>
          </w:tcPr>
          <w:p w14:paraId="6239B5AB" w14:textId="66D17306"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2</w:t>
            </w:r>
            <w:r w:rsidR="00AB5BD1">
              <w:rPr>
                <w:rFonts w:ascii="Garamond" w:eastAsia="Times New Roman" w:hAnsi="Garamond" w:cs="Arial"/>
                <w:b/>
                <w:bCs/>
              </w:rPr>
              <w:t>0</w:t>
            </w:r>
          </w:p>
        </w:tc>
        <w:tc>
          <w:tcPr>
            <w:tcW w:w="146" w:type="dxa"/>
            <w:tcBorders>
              <w:left w:val="single" w:sz="4" w:space="0" w:color="auto"/>
            </w:tcBorders>
            <w:vAlign w:val="center"/>
            <w:hideMark/>
          </w:tcPr>
          <w:p w14:paraId="5AFB4167"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53C99FFB" w14:textId="77777777" w:rsidTr="003D72E2">
        <w:trPr>
          <w:trHeight w:val="135"/>
        </w:trPr>
        <w:tc>
          <w:tcPr>
            <w:tcW w:w="1348" w:type="dxa"/>
            <w:tcBorders>
              <w:top w:val="single" w:sz="4" w:space="0" w:color="auto"/>
              <w:right w:val="nil"/>
            </w:tcBorders>
            <w:shd w:val="clear" w:color="auto" w:fill="auto"/>
            <w:vAlign w:val="center"/>
            <w:hideMark/>
          </w:tcPr>
          <w:p w14:paraId="25605B5B" w14:textId="77777777" w:rsidR="00FF72EC" w:rsidRDefault="00FF72EC" w:rsidP="00FF72EC">
            <w:pPr>
              <w:spacing w:after="0" w:line="240" w:lineRule="auto"/>
              <w:rPr>
                <w:rFonts w:ascii="Garamond" w:eastAsia="Times New Roman" w:hAnsi="Garamond" w:cs="Arial"/>
                <w:b/>
                <w:bCs/>
              </w:rPr>
            </w:pPr>
            <w:r w:rsidRPr="00FF72EC">
              <w:rPr>
                <w:rFonts w:ascii="Garamond" w:eastAsia="Times New Roman" w:hAnsi="Garamond" w:cs="Arial"/>
                <w:b/>
                <w:bCs/>
              </w:rPr>
              <w:t> </w:t>
            </w:r>
          </w:p>
          <w:p w14:paraId="42DECA4C" w14:textId="77777777" w:rsidR="00FF72EC" w:rsidRDefault="00FF72EC" w:rsidP="00FF72EC">
            <w:pPr>
              <w:spacing w:after="0" w:line="240" w:lineRule="auto"/>
              <w:rPr>
                <w:rFonts w:ascii="Garamond" w:eastAsia="Times New Roman" w:hAnsi="Garamond" w:cs="Arial"/>
                <w:b/>
                <w:bCs/>
              </w:rPr>
            </w:pPr>
          </w:p>
          <w:p w14:paraId="3C5F6397" w14:textId="77777777" w:rsidR="00FF72EC" w:rsidRDefault="00FF72EC" w:rsidP="00FF72EC">
            <w:pPr>
              <w:spacing w:after="0" w:line="240" w:lineRule="auto"/>
              <w:rPr>
                <w:rFonts w:ascii="Garamond" w:eastAsia="Times New Roman" w:hAnsi="Garamond" w:cs="Arial"/>
                <w:b/>
                <w:bCs/>
              </w:rPr>
            </w:pPr>
          </w:p>
          <w:p w14:paraId="6A819293" w14:textId="77777777" w:rsidR="00FF72EC" w:rsidRDefault="00FF72EC" w:rsidP="00FF72EC">
            <w:pPr>
              <w:spacing w:after="0" w:line="240" w:lineRule="auto"/>
              <w:rPr>
                <w:rFonts w:ascii="Garamond" w:eastAsia="Times New Roman" w:hAnsi="Garamond" w:cs="Arial"/>
                <w:b/>
                <w:bCs/>
              </w:rPr>
            </w:pPr>
          </w:p>
          <w:p w14:paraId="6072F8B8" w14:textId="77777777" w:rsidR="00FF72EC" w:rsidRDefault="00FF72EC" w:rsidP="00FF72EC">
            <w:pPr>
              <w:spacing w:after="0" w:line="240" w:lineRule="auto"/>
              <w:rPr>
                <w:rFonts w:ascii="Garamond" w:eastAsia="Times New Roman" w:hAnsi="Garamond" w:cs="Arial"/>
                <w:b/>
                <w:bCs/>
              </w:rPr>
            </w:pPr>
          </w:p>
          <w:p w14:paraId="16CF089F" w14:textId="07E111C2" w:rsidR="00FF72EC" w:rsidRPr="00FF72EC" w:rsidRDefault="00FF72EC" w:rsidP="00FF72EC">
            <w:pPr>
              <w:spacing w:after="0" w:line="240" w:lineRule="auto"/>
              <w:rPr>
                <w:rFonts w:ascii="Garamond" w:eastAsia="Times New Roman" w:hAnsi="Garamond" w:cs="Arial"/>
                <w:b/>
                <w:bCs/>
              </w:rPr>
            </w:pPr>
          </w:p>
        </w:tc>
        <w:tc>
          <w:tcPr>
            <w:tcW w:w="3960" w:type="dxa"/>
            <w:tcBorders>
              <w:top w:val="single" w:sz="4" w:space="0" w:color="auto"/>
              <w:left w:val="nil"/>
              <w:right w:val="nil"/>
            </w:tcBorders>
            <w:shd w:val="clear" w:color="000000" w:fill="FFFFFF"/>
            <w:vAlign w:val="center"/>
            <w:hideMark/>
          </w:tcPr>
          <w:p w14:paraId="20AD4C09" w14:textId="77777777" w:rsidR="00FF72EC" w:rsidRDefault="00FF72EC" w:rsidP="00FF72EC">
            <w:pPr>
              <w:spacing w:after="0" w:line="240" w:lineRule="auto"/>
              <w:jc w:val="center"/>
              <w:rPr>
                <w:rFonts w:ascii="Garamond" w:eastAsia="Times New Roman" w:hAnsi="Garamond" w:cs="Arial"/>
                <w:sz w:val="20"/>
                <w:szCs w:val="20"/>
              </w:rPr>
            </w:pPr>
          </w:p>
          <w:p w14:paraId="54CD9B50" w14:textId="77777777" w:rsidR="00FF72EC" w:rsidRDefault="00FF72EC" w:rsidP="00FF72EC">
            <w:pPr>
              <w:spacing w:after="0" w:line="240" w:lineRule="auto"/>
              <w:jc w:val="center"/>
              <w:rPr>
                <w:rFonts w:ascii="Garamond" w:eastAsia="Times New Roman" w:hAnsi="Garamond" w:cs="Arial"/>
                <w:sz w:val="20"/>
                <w:szCs w:val="20"/>
              </w:rPr>
            </w:pPr>
          </w:p>
          <w:p w14:paraId="2A74CDF8" w14:textId="77777777" w:rsidR="00FF72EC" w:rsidRDefault="00FF72EC" w:rsidP="00FF72EC">
            <w:pPr>
              <w:spacing w:after="0" w:line="240" w:lineRule="auto"/>
              <w:jc w:val="center"/>
              <w:rPr>
                <w:rFonts w:ascii="Garamond" w:eastAsia="Times New Roman" w:hAnsi="Garamond" w:cs="Arial"/>
                <w:sz w:val="20"/>
                <w:szCs w:val="20"/>
              </w:rPr>
            </w:pPr>
          </w:p>
          <w:p w14:paraId="6A1E4E0D" w14:textId="2817BFA1" w:rsidR="00FF72EC" w:rsidRDefault="00FF72EC" w:rsidP="00FF72EC">
            <w:pPr>
              <w:spacing w:after="0" w:line="240" w:lineRule="auto"/>
              <w:jc w:val="center"/>
              <w:rPr>
                <w:rFonts w:ascii="Garamond" w:eastAsia="Times New Roman" w:hAnsi="Garamond" w:cs="Arial"/>
                <w:sz w:val="20"/>
                <w:szCs w:val="20"/>
              </w:rPr>
            </w:pPr>
          </w:p>
          <w:p w14:paraId="321F4175" w14:textId="77777777" w:rsidR="00FF72EC" w:rsidRDefault="00FF72EC" w:rsidP="00FF72EC">
            <w:pPr>
              <w:spacing w:after="0" w:line="240" w:lineRule="auto"/>
              <w:jc w:val="center"/>
              <w:rPr>
                <w:rFonts w:ascii="Garamond" w:eastAsia="Times New Roman" w:hAnsi="Garamond" w:cs="Arial"/>
                <w:sz w:val="20"/>
                <w:szCs w:val="20"/>
              </w:rPr>
            </w:pPr>
          </w:p>
          <w:p w14:paraId="0650F2CC" w14:textId="77777777" w:rsidR="00FF72EC" w:rsidRDefault="00FF72EC" w:rsidP="00FF72EC">
            <w:pPr>
              <w:spacing w:after="0" w:line="240" w:lineRule="auto"/>
              <w:jc w:val="center"/>
              <w:rPr>
                <w:rFonts w:ascii="Garamond" w:eastAsia="Times New Roman" w:hAnsi="Garamond" w:cs="Arial"/>
                <w:sz w:val="20"/>
                <w:szCs w:val="20"/>
              </w:rPr>
            </w:pPr>
          </w:p>
          <w:p w14:paraId="2C7F5D19" w14:textId="77777777" w:rsidR="00FF72EC" w:rsidRDefault="00FF72EC" w:rsidP="00FF72EC">
            <w:pPr>
              <w:spacing w:after="0" w:line="240" w:lineRule="auto"/>
              <w:jc w:val="center"/>
              <w:rPr>
                <w:rFonts w:ascii="Garamond" w:eastAsia="Times New Roman" w:hAnsi="Garamond" w:cs="Arial"/>
                <w:sz w:val="20"/>
                <w:szCs w:val="20"/>
              </w:rPr>
            </w:pPr>
          </w:p>
          <w:p w14:paraId="1F8A83EC" w14:textId="6A7F30C8"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1874" w:type="dxa"/>
            <w:tcBorders>
              <w:top w:val="single" w:sz="4" w:space="0" w:color="auto"/>
              <w:left w:val="nil"/>
              <w:right w:val="nil"/>
            </w:tcBorders>
            <w:shd w:val="clear" w:color="000000" w:fill="FFFFFF"/>
            <w:hideMark/>
          </w:tcPr>
          <w:p w14:paraId="1FF3A524"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1395" w:type="dxa"/>
            <w:tcBorders>
              <w:top w:val="single" w:sz="4" w:space="0" w:color="auto"/>
              <w:left w:val="nil"/>
              <w:right w:val="nil"/>
            </w:tcBorders>
            <w:shd w:val="clear" w:color="auto" w:fill="auto"/>
            <w:hideMark/>
          </w:tcPr>
          <w:p w14:paraId="61131697"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870" w:type="dxa"/>
            <w:tcBorders>
              <w:top w:val="single" w:sz="4" w:space="0" w:color="auto"/>
              <w:left w:val="nil"/>
              <w:right w:val="nil"/>
            </w:tcBorders>
            <w:shd w:val="clear" w:color="auto" w:fill="auto"/>
            <w:vAlign w:val="center"/>
            <w:hideMark/>
          </w:tcPr>
          <w:p w14:paraId="345687C2" w14:textId="77777777" w:rsidR="00FF72EC" w:rsidRPr="00FF72EC" w:rsidRDefault="00FF72EC" w:rsidP="00FF72EC">
            <w:pPr>
              <w:spacing w:after="0" w:line="240" w:lineRule="auto"/>
              <w:jc w:val="center"/>
              <w:rPr>
                <w:rFonts w:ascii="Garamond" w:eastAsia="Times New Roman" w:hAnsi="Garamond" w:cs="Arial"/>
              </w:rPr>
            </w:pPr>
            <w:r w:rsidRPr="00FF72EC">
              <w:rPr>
                <w:rFonts w:ascii="Garamond" w:eastAsia="Times New Roman" w:hAnsi="Garamond" w:cs="Arial"/>
              </w:rPr>
              <w:t> </w:t>
            </w:r>
          </w:p>
        </w:tc>
        <w:tc>
          <w:tcPr>
            <w:tcW w:w="1117" w:type="dxa"/>
            <w:tcBorders>
              <w:top w:val="single" w:sz="4" w:space="0" w:color="auto"/>
              <w:left w:val="nil"/>
            </w:tcBorders>
            <w:shd w:val="clear" w:color="000000" w:fill="FFFFFF"/>
            <w:vAlign w:val="center"/>
            <w:hideMark/>
          </w:tcPr>
          <w:p w14:paraId="76A2DC57" w14:textId="77777777" w:rsidR="00FF72EC" w:rsidRPr="00FF72EC" w:rsidRDefault="00FF72EC" w:rsidP="00FF72EC">
            <w:pPr>
              <w:spacing w:after="0" w:line="240" w:lineRule="auto"/>
              <w:jc w:val="center"/>
              <w:rPr>
                <w:rFonts w:ascii="Garamond" w:eastAsia="Times New Roman" w:hAnsi="Garamond" w:cs="Arial"/>
              </w:rPr>
            </w:pPr>
            <w:r w:rsidRPr="00FF72EC">
              <w:rPr>
                <w:rFonts w:ascii="Garamond" w:eastAsia="Times New Roman" w:hAnsi="Garamond" w:cs="Arial"/>
              </w:rPr>
              <w:t> </w:t>
            </w:r>
          </w:p>
        </w:tc>
        <w:tc>
          <w:tcPr>
            <w:tcW w:w="146" w:type="dxa"/>
            <w:tcBorders>
              <w:left w:val="nil"/>
            </w:tcBorders>
            <w:vAlign w:val="center"/>
            <w:hideMark/>
          </w:tcPr>
          <w:p w14:paraId="60EBDEA7"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40B2F128" w14:textId="77777777" w:rsidTr="003D72E2">
        <w:trPr>
          <w:trHeight w:val="375"/>
        </w:trPr>
        <w:tc>
          <w:tcPr>
            <w:tcW w:w="10564" w:type="dxa"/>
            <w:gridSpan w:val="6"/>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790B4EED"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lastRenderedPageBreak/>
              <w:t>III.     WSKAŹNIKI EFEKTYWNOŚCI</w:t>
            </w:r>
          </w:p>
        </w:tc>
        <w:tc>
          <w:tcPr>
            <w:tcW w:w="146" w:type="dxa"/>
            <w:tcBorders>
              <w:left w:val="single" w:sz="4" w:space="0" w:color="auto"/>
            </w:tcBorders>
            <w:vAlign w:val="center"/>
            <w:hideMark/>
          </w:tcPr>
          <w:p w14:paraId="41DFC5C5"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413FD167" w14:textId="77777777" w:rsidTr="003D72E2">
        <w:trPr>
          <w:trHeight w:val="1275"/>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2BDA5629"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Rotacji należności                             (w dniach)</w:t>
            </w:r>
          </w:p>
        </w:tc>
        <w:tc>
          <w:tcPr>
            <w:tcW w:w="3960" w:type="dxa"/>
            <w:tcBorders>
              <w:top w:val="nil"/>
              <w:left w:val="nil"/>
              <w:bottom w:val="nil"/>
              <w:right w:val="single" w:sz="4" w:space="0" w:color="auto"/>
            </w:tcBorders>
            <w:shd w:val="clear" w:color="auto" w:fill="auto"/>
            <w:noWrap/>
            <w:vAlign w:val="bottom"/>
            <w:hideMark/>
          </w:tcPr>
          <w:p w14:paraId="7228396F" w14:textId="558B2B1D" w:rsidR="00FF72EC" w:rsidRPr="00FF72EC" w:rsidRDefault="0094742C" w:rsidP="00FF72EC">
            <w:pPr>
              <w:spacing w:after="0" w:line="240" w:lineRule="auto"/>
              <w:rPr>
                <w:rFonts w:ascii="Arial" w:eastAsia="Times New Roman" w:hAnsi="Arial"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59530291" wp14:editId="3832E9B8">
                      <wp:simplePos x="0" y="0"/>
                      <wp:positionH relativeFrom="column">
                        <wp:posOffset>36195</wp:posOffset>
                      </wp:positionH>
                      <wp:positionV relativeFrom="paragraph">
                        <wp:posOffset>481965</wp:posOffset>
                      </wp:positionV>
                      <wp:extent cx="2269490" cy="5080"/>
                      <wp:effectExtent l="0" t="0" r="35560" b="33020"/>
                      <wp:wrapNone/>
                      <wp:docPr id="25" name="Łącznik prosty 25">
                        <a:extLst xmlns:a="http://schemas.openxmlformats.org/drawingml/2006/main">
                          <a:ext uri="{FF2B5EF4-FFF2-40B4-BE49-F238E27FC236}">
                            <a16:creationId xmlns:a16="http://schemas.microsoft.com/office/drawing/2014/main" id="{1BDB3E5F-3270-4373-881B-72535CEC26E5}"/>
                          </a:ext>
                        </a:extLst>
                      </wp:docPr>
                      <wp:cNvGraphicFramePr/>
                      <a:graphic xmlns:a="http://schemas.openxmlformats.org/drawingml/2006/main">
                        <a:graphicData uri="http://schemas.microsoft.com/office/word/2010/wordprocessingShape">
                          <wps:wsp>
                            <wps:cNvCnPr/>
                            <wps:spPr>
                              <a:xfrm flipV="1">
                                <a:off x="0" y="0"/>
                                <a:ext cx="2269490" cy="5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06FBD7" id="Łącznik prosty 2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7.95pt" to="181.5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" strokecolor="black [3040]" strokeweight="1pt"/>
                  </w:pict>
                </mc:Fallback>
              </mc:AlternateContent>
            </w:r>
          </w:p>
          <w:tbl>
            <w:tblPr>
              <w:tblW w:w="0" w:type="auto"/>
              <w:tblCellSpacing w:w="0" w:type="dxa"/>
              <w:tblBorders>
                <w:bottom w:val="single" w:sz="4" w:space="0" w:color="auto"/>
              </w:tblBorders>
              <w:tblCellMar>
                <w:left w:w="0" w:type="dxa"/>
                <w:right w:w="0" w:type="dxa"/>
              </w:tblCellMar>
              <w:tblLook w:val="04A0" w:firstRow="1" w:lastRow="0" w:firstColumn="1" w:lastColumn="0" w:noHBand="0" w:noVBand="1"/>
            </w:tblPr>
            <w:tblGrid>
              <w:gridCol w:w="3820"/>
            </w:tblGrid>
            <w:tr w:rsidR="00FF72EC" w:rsidRPr="00FF72EC" w14:paraId="346CD572" w14:textId="77777777" w:rsidTr="0094742C">
              <w:trPr>
                <w:trHeight w:val="1275"/>
                <w:tblCellSpacing w:w="0" w:type="dxa"/>
              </w:trPr>
              <w:tc>
                <w:tcPr>
                  <w:tcW w:w="3880" w:type="dxa"/>
                  <w:shd w:val="clear" w:color="auto" w:fill="auto"/>
                  <w:vAlign w:val="center"/>
                  <w:hideMark/>
                </w:tcPr>
                <w:p w14:paraId="0C304FAA" w14:textId="720F71BC"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średni stan należności z tytułu dostaw i usług                              x liczba dni  w okresie (365)                                           przychody netto ze sprzedaży produktów                                      + przychody netto ze sprzedaży towarów                                  i materiałów </w:t>
                  </w:r>
                </w:p>
              </w:tc>
            </w:tr>
          </w:tbl>
          <w:p w14:paraId="4E454217"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14:paraId="520557BA"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45 dni                                   od 45 dni do 60 dni                                             od 61 dni do 90 dni                                                                                       powyżej 90 dni</w:t>
            </w:r>
          </w:p>
        </w:tc>
        <w:tc>
          <w:tcPr>
            <w:tcW w:w="1395" w:type="dxa"/>
            <w:tcBorders>
              <w:top w:val="nil"/>
              <w:left w:val="nil"/>
              <w:bottom w:val="single" w:sz="4" w:space="0" w:color="auto"/>
              <w:right w:val="single" w:sz="4" w:space="0" w:color="auto"/>
            </w:tcBorders>
            <w:shd w:val="clear" w:color="auto" w:fill="auto"/>
            <w:vAlign w:val="center"/>
            <w:hideMark/>
          </w:tcPr>
          <w:p w14:paraId="32035F93"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b/>
                <w:bCs/>
                <w:sz w:val="20"/>
                <w:szCs w:val="20"/>
              </w:rPr>
              <w:t xml:space="preserve">3 </w:t>
            </w:r>
            <w:r w:rsidRPr="00FF72EC">
              <w:rPr>
                <w:rFonts w:ascii="Garamond" w:eastAsia="Times New Roman" w:hAnsi="Garamond" w:cs="Arial"/>
                <w:sz w:val="20"/>
                <w:szCs w:val="20"/>
              </w:rPr>
              <w:t xml:space="preserve">                         2                             1                                                                    0</w:t>
            </w:r>
          </w:p>
        </w:tc>
        <w:tc>
          <w:tcPr>
            <w:tcW w:w="870" w:type="dxa"/>
            <w:tcBorders>
              <w:top w:val="nil"/>
              <w:left w:val="nil"/>
              <w:bottom w:val="single" w:sz="4" w:space="0" w:color="auto"/>
              <w:right w:val="single" w:sz="4" w:space="0" w:color="auto"/>
            </w:tcBorders>
            <w:shd w:val="clear" w:color="auto" w:fill="auto"/>
            <w:vAlign w:val="center"/>
            <w:hideMark/>
          </w:tcPr>
          <w:p w14:paraId="46765E8C" w14:textId="243BD6B8" w:rsidR="00FF72EC" w:rsidRPr="00FF72EC" w:rsidRDefault="0067151A" w:rsidP="0067151A">
            <w:pPr>
              <w:spacing w:after="0" w:line="240" w:lineRule="auto"/>
              <w:rPr>
                <w:rFonts w:ascii="Garamond" w:eastAsia="Times New Roman" w:hAnsi="Garamond" w:cs="Arial"/>
                <w:b/>
                <w:bCs/>
              </w:rPr>
            </w:pPr>
            <w:r>
              <w:rPr>
                <w:rFonts w:ascii="Garamond" w:eastAsia="Times New Roman" w:hAnsi="Garamond" w:cs="Arial"/>
                <w:b/>
                <w:bCs/>
              </w:rPr>
              <w:t xml:space="preserve">       </w:t>
            </w:r>
            <w:r w:rsidR="009C040B">
              <w:rPr>
                <w:rFonts w:ascii="Garamond" w:eastAsia="Times New Roman" w:hAnsi="Garamond" w:cs="Arial"/>
                <w:b/>
                <w:bCs/>
              </w:rPr>
              <w:t>37</w:t>
            </w:r>
          </w:p>
        </w:tc>
        <w:tc>
          <w:tcPr>
            <w:tcW w:w="1117" w:type="dxa"/>
            <w:tcBorders>
              <w:top w:val="nil"/>
              <w:left w:val="nil"/>
              <w:bottom w:val="single" w:sz="4" w:space="0" w:color="auto"/>
              <w:right w:val="single" w:sz="4" w:space="0" w:color="auto"/>
            </w:tcBorders>
            <w:shd w:val="clear" w:color="000000" w:fill="FFFFFF"/>
            <w:vAlign w:val="center"/>
            <w:hideMark/>
          </w:tcPr>
          <w:p w14:paraId="4615FA06" w14:textId="41841C82" w:rsidR="00FF72EC" w:rsidRPr="00FF72EC" w:rsidRDefault="009C040B" w:rsidP="00FF72EC">
            <w:pPr>
              <w:spacing w:after="0" w:line="240" w:lineRule="auto"/>
              <w:jc w:val="center"/>
              <w:rPr>
                <w:rFonts w:ascii="Garamond" w:eastAsia="Times New Roman" w:hAnsi="Garamond" w:cs="Arial"/>
                <w:b/>
                <w:bCs/>
              </w:rPr>
            </w:pPr>
            <w:r>
              <w:rPr>
                <w:rFonts w:ascii="Garamond" w:eastAsia="Times New Roman" w:hAnsi="Garamond" w:cs="Arial"/>
                <w:b/>
                <w:bCs/>
              </w:rPr>
              <w:t>3</w:t>
            </w:r>
          </w:p>
        </w:tc>
        <w:tc>
          <w:tcPr>
            <w:tcW w:w="146" w:type="dxa"/>
            <w:vAlign w:val="center"/>
            <w:hideMark/>
          </w:tcPr>
          <w:p w14:paraId="542597DD"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3333B5C0" w14:textId="77777777" w:rsidTr="003D72E2">
        <w:trPr>
          <w:trHeight w:val="1290"/>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48512745"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xml:space="preserve">Rotacji zobowiązań (w dniach) </w:t>
            </w:r>
          </w:p>
        </w:tc>
        <w:tc>
          <w:tcPr>
            <w:tcW w:w="3960" w:type="dxa"/>
            <w:tcBorders>
              <w:top w:val="nil"/>
              <w:left w:val="nil"/>
              <w:bottom w:val="nil"/>
              <w:right w:val="single" w:sz="4" w:space="0" w:color="auto"/>
            </w:tcBorders>
            <w:shd w:val="clear" w:color="auto" w:fill="auto"/>
            <w:noWrap/>
            <w:vAlign w:val="bottom"/>
            <w:hideMark/>
          </w:tcPr>
          <w:p w14:paraId="6C5C6D83" w14:textId="0DFD38E7" w:rsidR="00FF72EC" w:rsidRPr="00FF72EC" w:rsidRDefault="0094742C" w:rsidP="00FF72EC">
            <w:pPr>
              <w:spacing w:after="0" w:line="240" w:lineRule="auto"/>
              <w:rPr>
                <w:rFonts w:ascii="Arial" w:eastAsia="Times New Roman" w:hAnsi="Arial"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6096569B" wp14:editId="662CBAE6">
                      <wp:simplePos x="0" y="0"/>
                      <wp:positionH relativeFrom="column">
                        <wp:posOffset>-24130</wp:posOffset>
                      </wp:positionH>
                      <wp:positionV relativeFrom="paragraph">
                        <wp:posOffset>495300</wp:posOffset>
                      </wp:positionV>
                      <wp:extent cx="2362200" cy="5080"/>
                      <wp:effectExtent l="0" t="0" r="19050" b="33020"/>
                      <wp:wrapNone/>
                      <wp:docPr id="26" name="Łącznik prosty 26">
                        <a:extLst xmlns:a="http://schemas.openxmlformats.org/drawingml/2006/main">
                          <a:ext uri="{FF2B5EF4-FFF2-40B4-BE49-F238E27FC236}">
                            <a16:creationId xmlns:a16="http://schemas.microsoft.com/office/drawing/2014/main" id="{D9EAA7A6-F7FF-4147-87FE-961F151C1ABD}"/>
                          </a:ext>
                        </a:extLst>
                      </wp:docPr>
                      <wp:cNvGraphicFramePr/>
                      <a:graphic xmlns:a="http://schemas.openxmlformats.org/drawingml/2006/main">
                        <a:graphicData uri="http://schemas.microsoft.com/office/word/2010/wordprocessingShape">
                          <wps:wsp>
                            <wps:cNvCnPr/>
                            <wps:spPr>
                              <a:xfrm>
                                <a:off x="0" y="0"/>
                                <a:ext cx="2362200" cy="50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E7B16B" id="Łącznik prosty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39pt" to="184.1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" strokecolor="black [3040]"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678"/>
            </w:tblGrid>
            <w:tr w:rsidR="00FF72EC" w:rsidRPr="00FF72EC" w14:paraId="6EEE3269" w14:textId="77777777" w:rsidTr="0094742C">
              <w:trPr>
                <w:trHeight w:val="1290"/>
                <w:tblCellSpacing w:w="0" w:type="dxa"/>
              </w:trPr>
              <w:tc>
                <w:tcPr>
                  <w:tcW w:w="3678" w:type="dxa"/>
                  <w:shd w:val="clear" w:color="auto" w:fill="auto"/>
                  <w:vAlign w:val="center"/>
                  <w:hideMark/>
                </w:tcPr>
                <w:p w14:paraId="30E22690" w14:textId="376738DD"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średni stan zobowiązań z tytułu dostaw i usług                       x liczba dni w okresie (365)                                           przychody netto ze sprzedaży produktów                                 + przychody netto ze sprzedaży towarów                                 i materiałów</w:t>
                  </w:r>
                </w:p>
              </w:tc>
            </w:tr>
          </w:tbl>
          <w:p w14:paraId="4310C6A7"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A1CCB5"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do 60 dni                                   od 61 dni do 90 dni                                                    powyżej 90 dni</w:t>
            </w:r>
          </w:p>
        </w:tc>
        <w:tc>
          <w:tcPr>
            <w:tcW w:w="1395" w:type="dxa"/>
            <w:tcBorders>
              <w:top w:val="nil"/>
              <w:left w:val="nil"/>
              <w:bottom w:val="single" w:sz="4" w:space="0" w:color="auto"/>
              <w:right w:val="single" w:sz="4" w:space="0" w:color="auto"/>
            </w:tcBorders>
            <w:shd w:val="clear" w:color="auto" w:fill="auto"/>
            <w:vAlign w:val="center"/>
            <w:hideMark/>
          </w:tcPr>
          <w:p w14:paraId="5B372600"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b/>
                <w:bCs/>
                <w:sz w:val="20"/>
                <w:szCs w:val="20"/>
              </w:rPr>
              <w:t xml:space="preserve">7 </w:t>
            </w:r>
            <w:r w:rsidRPr="00FF72EC">
              <w:rPr>
                <w:rFonts w:ascii="Garamond" w:eastAsia="Times New Roman" w:hAnsi="Garamond" w:cs="Arial"/>
                <w:sz w:val="20"/>
                <w:szCs w:val="20"/>
              </w:rPr>
              <w:t xml:space="preserve">                                                                   4                                  0</w:t>
            </w:r>
          </w:p>
        </w:tc>
        <w:tc>
          <w:tcPr>
            <w:tcW w:w="870" w:type="dxa"/>
            <w:tcBorders>
              <w:top w:val="nil"/>
              <w:left w:val="nil"/>
              <w:bottom w:val="single" w:sz="4" w:space="0" w:color="auto"/>
              <w:right w:val="single" w:sz="4" w:space="0" w:color="auto"/>
            </w:tcBorders>
            <w:shd w:val="clear" w:color="auto" w:fill="auto"/>
            <w:vAlign w:val="center"/>
            <w:hideMark/>
          </w:tcPr>
          <w:p w14:paraId="6DB9BDB7" w14:textId="18797A22" w:rsidR="00FF72EC" w:rsidRPr="00FF72EC" w:rsidRDefault="009C040B" w:rsidP="009C040B">
            <w:pPr>
              <w:spacing w:after="0" w:line="240" w:lineRule="auto"/>
              <w:rPr>
                <w:rFonts w:ascii="Garamond" w:eastAsia="Times New Roman" w:hAnsi="Garamond" w:cs="Arial"/>
                <w:b/>
                <w:bCs/>
              </w:rPr>
            </w:pPr>
            <w:r>
              <w:rPr>
                <w:rFonts w:ascii="Garamond" w:eastAsia="Times New Roman" w:hAnsi="Garamond" w:cs="Arial"/>
                <w:b/>
                <w:bCs/>
              </w:rPr>
              <w:t xml:space="preserve">        26</w:t>
            </w:r>
          </w:p>
        </w:tc>
        <w:tc>
          <w:tcPr>
            <w:tcW w:w="1117" w:type="dxa"/>
            <w:tcBorders>
              <w:top w:val="nil"/>
              <w:left w:val="nil"/>
              <w:bottom w:val="single" w:sz="4" w:space="0" w:color="auto"/>
              <w:right w:val="single" w:sz="4" w:space="0" w:color="auto"/>
            </w:tcBorders>
            <w:shd w:val="clear" w:color="000000" w:fill="FFFFFF"/>
            <w:vAlign w:val="center"/>
            <w:hideMark/>
          </w:tcPr>
          <w:p w14:paraId="09B00F05" w14:textId="77777777"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7</w:t>
            </w:r>
          </w:p>
        </w:tc>
        <w:tc>
          <w:tcPr>
            <w:tcW w:w="146" w:type="dxa"/>
            <w:vAlign w:val="center"/>
            <w:hideMark/>
          </w:tcPr>
          <w:p w14:paraId="423CD7E8"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580D8868" w14:textId="77777777" w:rsidTr="003D72E2">
        <w:trPr>
          <w:trHeight w:val="390"/>
        </w:trPr>
        <w:tc>
          <w:tcPr>
            <w:tcW w:w="5308" w:type="dxa"/>
            <w:gridSpan w:val="2"/>
            <w:tcBorders>
              <w:top w:val="single" w:sz="8" w:space="0" w:color="auto"/>
              <w:left w:val="single" w:sz="8" w:space="0" w:color="auto"/>
              <w:bottom w:val="single" w:sz="8" w:space="0" w:color="auto"/>
              <w:right w:val="nil"/>
            </w:tcBorders>
            <w:shd w:val="clear" w:color="000000" w:fill="FF9900"/>
            <w:noWrap/>
            <w:vAlign w:val="center"/>
            <w:hideMark/>
          </w:tcPr>
          <w:p w14:paraId="61D051C0"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 xml:space="preserve">          RAZEM   WSKAŹNIKI  EFEKTYWNOŚCI</w:t>
            </w:r>
          </w:p>
        </w:tc>
        <w:tc>
          <w:tcPr>
            <w:tcW w:w="1874" w:type="dxa"/>
            <w:tcBorders>
              <w:top w:val="single" w:sz="8" w:space="0" w:color="auto"/>
              <w:left w:val="single" w:sz="4" w:space="0" w:color="auto"/>
              <w:bottom w:val="single" w:sz="8" w:space="0" w:color="auto"/>
              <w:right w:val="nil"/>
            </w:tcBorders>
            <w:shd w:val="clear" w:color="000000" w:fill="FF9900"/>
            <w:vAlign w:val="center"/>
            <w:hideMark/>
          </w:tcPr>
          <w:p w14:paraId="0FDD2C23"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Maksymalna ocena  pkt.</w:t>
            </w:r>
          </w:p>
        </w:tc>
        <w:tc>
          <w:tcPr>
            <w:tcW w:w="1395" w:type="dxa"/>
            <w:tcBorders>
              <w:top w:val="single" w:sz="8" w:space="0" w:color="auto"/>
              <w:left w:val="nil"/>
              <w:bottom w:val="single" w:sz="8" w:space="0" w:color="auto"/>
              <w:right w:val="single" w:sz="4" w:space="0" w:color="auto"/>
            </w:tcBorders>
            <w:shd w:val="clear" w:color="000000" w:fill="FF9900"/>
            <w:noWrap/>
            <w:vAlign w:val="center"/>
            <w:hideMark/>
          </w:tcPr>
          <w:p w14:paraId="32F2F815" w14:textId="77777777" w:rsidR="00FF72EC" w:rsidRPr="00FF72EC" w:rsidRDefault="00FF72EC" w:rsidP="00FF72EC">
            <w:pPr>
              <w:spacing w:after="0" w:line="240" w:lineRule="auto"/>
              <w:jc w:val="center"/>
              <w:rPr>
                <w:rFonts w:ascii="Garamond" w:eastAsia="Times New Roman" w:hAnsi="Garamond" w:cs="Arial"/>
                <w:b/>
                <w:bCs/>
                <w:sz w:val="20"/>
                <w:szCs w:val="20"/>
              </w:rPr>
            </w:pPr>
            <w:r w:rsidRPr="00FF72EC">
              <w:rPr>
                <w:rFonts w:ascii="Garamond" w:eastAsia="Times New Roman" w:hAnsi="Garamond" w:cs="Arial"/>
                <w:b/>
                <w:bCs/>
                <w:sz w:val="20"/>
                <w:szCs w:val="20"/>
              </w:rPr>
              <w:t>10</w:t>
            </w:r>
          </w:p>
        </w:tc>
        <w:tc>
          <w:tcPr>
            <w:tcW w:w="870" w:type="dxa"/>
            <w:tcBorders>
              <w:top w:val="single" w:sz="8" w:space="0" w:color="auto"/>
              <w:left w:val="nil"/>
              <w:bottom w:val="single" w:sz="8" w:space="0" w:color="auto"/>
              <w:right w:val="nil"/>
            </w:tcBorders>
            <w:shd w:val="clear" w:color="000000" w:fill="FF9900"/>
            <w:vAlign w:val="center"/>
            <w:hideMark/>
          </w:tcPr>
          <w:p w14:paraId="2E240E67" w14:textId="77777777" w:rsidR="00FF72EC" w:rsidRPr="00FF72EC" w:rsidRDefault="00FF72EC" w:rsidP="00FF72EC">
            <w:pPr>
              <w:spacing w:after="0" w:line="240" w:lineRule="auto"/>
              <w:jc w:val="center"/>
              <w:rPr>
                <w:rFonts w:ascii="Garamond" w:eastAsia="Times New Roman" w:hAnsi="Garamond" w:cs="Arial"/>
                <w:color w:val="000000"/>
                <w:sz w:val="20"/>
                <w:szCs w:val="20"/>
              </w:rPr>
            </w:pPr>
            <w:r w:rsidRPr="00FF72EC">
              <w:rPr>
                <w:rFonts w:ascii="Garamond" w:eastAsia="Times New Roman" w:hAnsi="Garamond" w:cs="Arial"/>
                <w:color w:val="000000"/>
                <w:sz w:val="20"/>
                <w:szCs w:val="20"/>
              </w:rPr>
              <w:t>Uzyskane pkt.</w:t>
            </w:r>
          </w:p>
        </w:tc>
        <w:tc>
          <w:tcPr>
            <w:tcW w:w="1117" w:type="dxa"/>
            <w:tcBorders>
              <w:top w:val="single" w:sz="8" w:space="0" w:color="auto"/>
              <w:left w:val="nil"/>
              <w:bottom w:val="single" w:sz="8" w:space="0" w:color="auto"/>
              <w:right w:val="single" w:sz="8" w:space="0" w:color="auto"/>
            </w:tcBorders>
            <w:shd w:val="clear" w:color="000000" w:fill="FF9900"/>
            <w:vAlign w:val="center"/>
            <w:hideMark/>
          </w:tcPr>
          <w:p w14:paraId="384957EA" w14:textId="7A79A2B0" w:rsidR="00FF72EC" w:rsidRPr="00FF72EC" w:rsidRDefault="009C040B" w:rsidP="00FF72EC">
            <w:pPr>
              <w:spacing w:after="0" w:line="240" w:lineRule="auto"/>
              <w:jc w:val="center"/>
              <w:rPr>
                <w:rFonts w:ascii="Garamond" w:eastAsia="Times New Roman" w:hAnsi="Garamond" w:cs="Arial"/>
                <w:b/>
                <w:bCs/>
              </w:rPr>
            </w:pPr>
            <w:r>
              <w:rPr>
                <w:rFonts w:ascii="Garamond" w:eastAsia="Times New Roman" w:hAnsi="Garamond" w:cs="Arial"/>
                <w:b/>
                <w:bCs/>
              </w:rPr>
              <w:t>10</w:t>
            </w:r>
          </w:p>
        </w:tc>
        <w:tc>
          <w:tcPr>
            <w:tcW w:w="146" w:type="dxa"/>
            <w:vAlign w:val="center"/>
            <w:hideMark/>
          </w:tcPr>
          <w:p w14:paraId="70BE8552"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1EBE9D3B" w14:textId="77777777" w:rsidTr="003D72E2">
        <w:trPr>
          <w:trHeight w:val="105"/>
        </w:trPr>
        <w:tc>
          <w:tcPr>
            <w:tcW w:w="1348" w:type="dxa"/>
            <w:tcBorders>
              <w:top w:val="single" w:sz="4" w:space="0" w:color="auto"/>
              <w:left w:val="nil"/>
              <w:bottom w:val="single" w:sz="4" w:space="0" w:color="auto"/>
              <w:right w:val="nil"/>
            </w:tcBorders>
            <w:shd w:val="clear" w:color="auto" w:fill="auto"/>
            <w:vAlign w:val="center"/>
            <w:hideMark/>
          </w:tcPr>
          <w:p w14:paraId="1A36F418" w14:textId="77777777" w:rsidR="00FF72EC" w:rsidRPr="00FF72EC" w:rsidRDefault="00FF72EC" w:rsidP="00FF72EC">
            <w:pPr>
              <w:spacing w:after="0" w:line="240" w:lineRule="auto"/>
              <w:rPr>
                <w:rFonts w:ascii="Garamond" w:eastAsia="Times New Roman" w:hAnsi="Garamond" w:cs="Arial"/>
                <w:b/>
                <w:bCs/>
              </w:rPr>
            </w:pPr>
            <w:r w:rsidRPr="00FF72EC">
              <w:rPr>
                <w:rFonts w:ascii="Garamond" w:eastAsia="Times New Roman" w:hAnsi="Garamond" w:cs="Arial"/>
                <w:b/>
                <w:bCs/>
              </w:rPr>
              <w:t> </w:t>
            </w:r>
          </w:p>
        </w:tc>
        <w:tc>
          <w:tcPr>
            <w:tcW w:w="3960" w:type="dxa"/>
            <w:tcBorders>
              <w:top w:val="single" w:sz="4" w:space="0" w:color="auto"/>
              <w:left w:val="nil"/>
              <w:bottom w:val="single" w:sz="4" w:space="0" w:color="auto"/>
              <w:right w:val="nil"/>
            </w:tcBorders>
            <w:shd w:val="clear" w:color="auto" w:fill="auto"/>
            <w:vAlign w:val="center"/>
            <w:hideMark/>
          </w:tcPr>
          <w:p w14:paraId="493F0F4A"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1874" w:type="dxa"/>
            <w:tcBorders>
              <w:top w:val="single" w:sz="4" w:space="0" w:color="auto"/>
              <w:left w:val="nil"/>
              <w:bottom w:val="single" w:sz="4" w:space="0" w:color="auto"/>
              <w:right w:val="nil"/>
            </w:tcBorders>
            <w:shd w:val="clear" w:color="000000" w:fill="FFFFFF"/>
            <w:vAlign w:val="center"/>
            <w:hideMark/>
          </w:tcPr>
          <w:p w14:paraId="133A6A2B"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1395" w:type="dxa"/>
            <w:tcBorders>
              <w:top w:val="single" w:sz="4" w:space="0" w:color="auto"/>
              <w:left w:val="nil"/>
              <w:bottom w:val="single" w:sz="4" w:space="0" w:color="auto"/>
              <w:right w:val="nil"/>
            </w:tcBorders>
            <w:shd w:val="clear" w:color="auto" w:fill="auto"/>
            <w:vAlign w:val="center"/>
            <w:hideMark/>
          </w:tcPr>
          <w:p w14:paraId="4307B6C2"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w:t>
            </w:r>
          </w:p>
        </w:tc>
        <w:tc>
          <w:tcPr>
            <w:tcW w:w="870" w:type="dxa"/>
            <w:tcBorders>
              <w:top w:val="single" w:sz="4" w:space="0" w:color="auto"/>
              <w:left w:val="nil"/>
              <w:bottom w:val="single" w:sz="4" w:space="0" w:color="auto"/>
              <w:right w:val="nil"/>
            </w:tcBorders>
            <w:shd w:val="clear" w:color="auto" w:fill="auto"/>
            <w:vAlign w:val="center"/>
            <w:hideMark/>
          </w:tcPr>
          <w:p w14:paraId="19FB00BA" w14:textId="77777777" w:rsidR="00FF72EC" w:rsidRPr="00FF72EC" w:rsidRDefault="00FF72EC" w:rsidP="00FF72EC">
            <w:pPr>
              <w:spacing w:after="0" w:line="240" w:lineRule="auto"/>
              <w:jc w:val="center"/>
              <w:rPr>
                <w:rFonts w:ascii="Garamond" w:eastAsia="Times New Roman" w:hAnsi="Garamond" w:cs="Arial"/>
              </w:rPr>
            </w:pPr>
            <w:r w:rsidRPr="00FF72EC">
              <w:rPr>
                <w:rFonts w:ascii="Garamond" w:eastAsia="Times New Roman" w:hAnsi="Garamond" w:cs="Arial"/>
              </w:rPr>
              <w:t> </w:t>
            </w:r>
          </w:p>
        </w:tc>
        <w:tc>
          <w:tcPr>
            <w:tcW w:w="1117" w:type="dxa"/>
            <w:tcBorders>
              <w:top w:val="single" w:sz="4" w:space="0" w:color="auto"/>
              <w:left w:val="nil"/>
              <w:bottom w:val="single" w:sz="4" w:space="0" w:color="auto"/>
              <w:right w:val="single" w:sz="8" w:space="0" w:color="auto"/>
            </w:tcBorders>
            <w:shd w:val="clear" w:color="000000" w:fill="FFFFFF"/>
            <w:vAlign w:val="center"/>
            <w:hideMark/>
          </w:tcPr>
          <w:p w14:paraId="4D57A7A7" w14:textId="77777777" w:rsidR="00FF72EC" w:rsidRPr="00FF72EC" w:rsidRDefault="00FF72EC" w:rsidP="00FF72EC">
            <w:pPr>
              <w:spacing w:after="0" w:line="240" w:lineRule="auto"/>
              <w:jc w:val="center"/>
              <w:rPr>
                <w:rFonts w:ascii="Garamond" w:eastAsia="Times New Roman" w:hAnsi="Garamond" w:cs="Arial"/>
              </w:rPr>
            </w:pPr>
            <w:r w:rsidRPr="00FF72EC">
              <w:rPr>
                <w:rFonts w:ascii="Garamond" w:eastAsia="Times New Roman" w:hAnsi="Garamond" w:cs="Arial"/>
              </w:rPr>
              <w:t> </w:t>
            </w:r>
          </w:p>
        </w:tc>
        <w:tc>
          <w:tcPr>
            <w:tcW w:w="146" w:type="dxa"/>
            <w:vAlign w:val="center"/>
            <w:hideMark/>
          </w:tcPr>
          <w:p w14:paraId="36C78178"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3CD0E846" w14:textId="77777777" w:rsidTr="003D72E2">
        <w:trPr>
          <w:trHeight w:val="240"/>
        </w:trPr>
        <w:tc>
          <w:tcPr>
            <w:tcW w:w="5308" w:type="dxa"/>
            <w:gridSpan w:val="2"/>
            <w:tcBorders>
              <w:top w:val="single" w:sz="4" w:space="0" w:color="auto"/>
              <w:left w:val="single" w:sz="8" w:space="0" w:color="auto"/>
              <w:bottom w:val="single" w:sz="4" w:space="0" w:color="auto"/>
              <w:right w:val="nil"/>
            </w:tcBorders>
            <w:shd w:val="clear" w:color="000000" w:fill="969696"/>
            <w:noWrap/>
            <w:vAlign w:val="center"/>
            <w:hideMark/>
          </w:tcPr>
          <w:p w14:paraId="11A2A299" w14:textId="77777777" w:rsidR="00FF72EC" w:rsidRPr="00FF72EC" w:rsidRDefault="00FF72EC" w:rsidP="00FF72EC">
            <w:pPr>
              <w:spacing w:after="0" w:line="240" w:lineRule="auto"/>
              <w:rPr>
                <w:rFonts w:ascii="Garamond" w:eastAsia="Times New Roman" w:hAnsi="Garamond" w:cs="Arial"/>
                <w:b/>
                <w:bCs/>
                <w:sz w:val="20"/>
                <w:szCs w:val="20"/>
              </w:rPr>
            </w:pPr>
            <w:r w:rsidRPr="00FF72EC">
              <w:rPr>
                <w:rFonts w:ascii="Garamond" w:eastAsia="Times New Roman" w:hAnsi="Garamond" w:cs="Arial"/>
                <w:b/>
                <w:bCs/>
                <w:sz w:val="20"/>
                <w:szCs w:val="20"/>
              </w:rPr>
              <w:t>IV.     WSKAŹNIKI ZADŁUŻENIA</w:t>
            </w:r>
          </w:p>
        </w:tc>
        <w:tc>
          <w:tcPr>
            <w:tcW w:w="1874" w:type="dxa"/>
            <w:tcBorders>
              <w:top w:val="single" w:sz="4" w:space="0" w:color="auto"/>
              <w:left w:val="nil"/>
              <w:bottom w:val="single" w:sz="4" w:space="0" w:color="auto"/>
              <w:right w:val="nil"/>
            </w:tcBorders>
            <w:shd w:val="clear" w:color="000000" w:fill="969696"/>
            <w:noWrap/>
            <w:vAlign w:val="center"/>
            <w:hideMark/>
          </w:tcPr>
          <w:p w14:paraId="274489F8"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395" w:type="dxa"/>
            <w:tcBorders>
              <w:top w:val="nil"/>
              <w:left w:val="nil"/>
              <w:bottom w:val="single" w:sz="4" w:space="0" w:color="auto"/>
              <w:right w:val="nil"/>
            </w:tcBorders>
            <w:shd w:val="clear" w:color="000000" w:fill="969696"/>
            <w:noWrap/>
            <w:vAlign w:val="center"/>
            <w:hideMark/>
          </w:tcPr>
          <w:p w14:paraId="0B6DC664"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870" w:type="dxa"/>
            <w:tcBorders>
              <w:top w:val="nil"/>
              <w:left w:val="nil"/>
              <w:bottom w:val="single" w:sz="4" w:space="0" w:color="auto"/>
              <w:right w:val="nil"/>
            </w:tcBorders>
            <w:shd w:val="clear" w:color="000000" w:fill="969696"/>
            <w:noWrap/>
            <w:vAlign w:val="center"/>
            <w:hideMark/>
          </w:tcPr>
          <w:p w14:paraId="0D608EE6" w14:textId="77777777" w:rsidR="00FF72EC" w:rsidRPr="00FF72EC" w:rsidRDefault="00FF72EC" w:rsidP="00FF72EC">
            <w:pPr>
              <w:spacing w:after="0" w:line="240" w:lineRule="auto"/>
              <w:rPr>
                <w:rFonts w:ascii="Garamond" w:eastAsia="Times New Roman" w:hAnsi="Garamond" w:cs="Arial"/>
                <w:b/>
                <w:bCs/>
                <w:sz w:val="24"/>
                <w:szCs w:val="24"/>
              </w:rPr>
            </w:pPr>
            <w:r w:rsidRPr="00FF72EC">
              <w:rPr>
                <w:rFonts w:ascii="Garamond" w:eastAsia="Times New Roman" w:hAnsi="Garamond" w:cs="Arial"/>
                <w:b/>
                <w:bCs/>
                <w:sz w:val="24"/>
                <w:szCs w:val="24"/>
              </w:rPr>
              <w:t> </w:t>
            </w:r>
          </w:p>
        </w:tc>
        <w:tc>
          <w:tcPr>
            <w:tcW w:w="1117" w:type="dxa"/>
            <w:tcBorders>
              <w:top w:val="nil"/>
              <w:left w:val="nil"/>
              <w:bottom w:val="single" w:sz="4" w:space="0" w:color="auto"/>
              <w:right w:val="single" w:sz="8" w:space="0" w:color="auto"/>
            </w:tcBorders>
            <w:shd w:val="clear" w:color="000000" w:fill="969696"/>
            <w:noWrap/>
            <w:vAlign w:val="center"/>
            <w:hideMark/>
          </w:tcPr>
          <w:p w14:paraId="4C56B33E" w14:textId="77777777" w:rsidR="00FF72EC" w:rsidRPr="00FF72EC" w:rsidRDefault="00FF72EC" w:rsidP="00FF72EC">
            <w:pPr>
              <w:spacing w:after="0" w:line="240" w:lineRule="auto"/>
              <w:rPr>
                <w:rFonts w:ascii="Garamond" w:eastAsia="Times New Roman" w:hAnsi="Garamond" w:cs="Arial"/>
                <w:b/>
                <w:bCs/>
              </w:rPr>
            </w:pPr>
            <w:r w:rsidRPr="00FF72EC">
              <w:rPr>
                <w:rFonts w:ascii="Garamond" w:eastAsia="Times New Roman" w:hAnsi="Garamond" w:cs="Arial"/>
                <w:b/>
                <w:bCs/>
              </w:rPr>
              <w:t> </w:t>
            </w:r>
          </w:p>
        </w:tc>
        <w:tc>
          <w:tcPr>
            <w:tcW w:w="146" w:type="dxa"/>
            <w:vAlign w:val="center"/>
            <w:hideMark/>
          </w:tcPr>
          <w:p w14:paraId="35273960"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13E77BD4" w14:textId="77777777" w:rsidTr="003D72E2">
        <w:trPr>
          <w:trHeight w:val="1020"/>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356B9B73" w14:textId="038BA998" w:rsidR="00FF72EC" w:rsidRPr="00334F70" w:rsidRDefault="00FF72EC" w:rsidP="00FF72EC">
            <w:pPr>
              <w:spacing w:after="0" w:line="240" w:lineRule="auto"/>
              <w:rPr>
                <w:rFonts w:ascii="Garamond" w:eastAsia="Times New Roman" w:hAnsi="Garamond" w:cs="Arial"/>
                <w:b/>
                <w:bCs/>
                <w:sz w:val="20"/>
                <w:szCs w:val="20"/>
              </w:rPr>
            </w:pPr>
            <w:r w:rsidRPr="00334F70">
              <w:rPr>
                <w:rFonts w:ascii="Garamond" w:eastAsia="Times New Roman" w:hAnsi="Garamond" w:cs="Arial"/>
                <w:b/>
                <w:bCs/>
                <w:sz w:val="20"/>
                <w:szCs w:val="20"/>
              </w:rPr>
              <w:t>Zadłużenia aktywów  %</w:t>
            </w:r>
          </w:p>
        </w:tc>
        <w:tc>
          <w:tcPr>
            <w:tcW w:w="3960" w:type="dxa"/>
            <w:tcBorders>
              <w:top w:val="nil"/>
              <w:left w:val="nil"/>
              <w:bottom w:val="nil"/>
              <w:right w:val="single" w:sz="4" w:space="0" w:color="auto"/>
            </w:tcBorders>
            <w:shd w:val="clear" w:color="auto" w:fill="auto"/>
            <w:noWrap/>
            <w:vAlign w:val="bottom"/>
            <w:hideMark/>
          </w:tcPr>
          <w:p w14:paraId="7C375255" w14:textId="699697DB" w:rsidR="00FF72EC" w:rsidRPr="00FF72EC" w:rsidRDefault="00FF72EC" w:rsidP="00FF72EC">
            <w:pPr>
              <w:spacing w:after="0" w:line="240" w:lineRule="auto"/>
              <w:rPr>
                <w:rFonts w:ascii="Arial" w:eastAsia="Times New Roman" w:hAnsi="Arial" w:cs="Arial"/>
                <w:sz w:val="20"/>
                <w:szCs w:val="20"/>
              </w:rPr>
            </w:pPr>
          </w:p>
          <w:tbl>
            <w:tblPr>
              <w:tblW w:w="0" w:type="auto"/>
              <w:tblCellSpacing w:w="0" w:type="dxa"/>
              <w:tblBorders>
                <w:bottom w:val="single" w:sz="4" w:space="0" w:color="auto"/>
              </w:tblBorders>
              <w:tblCellMar>
                <w:left w:w="0" w:type="dxa"/>
                <w:right w:w="0" w:type="dxa"/>
              </w:tblCellMar>
              <w:tblLook w:val="04A0" w:firstRow="1" w:lastRow="0" w:firstColumn="1" w:lastColumn="0" w:noHBand="0" w:noVBand="1"/>
            </w:tblPr>
            <w:tblGrid>
              <w:gridCol w:w="3820"/>
            </w:tblGrid>
            <w:tr w:rsidR="00FF72EC" w:rsidRPr="00FF72EC" w14:paraId="4F6045C2" w14:textId="77777777" w:rsidTr="0094742C">
              <w:trPr>
                <w:trHeight w:val="1020"/>
                <w:tblCellSpacing w:w="0" w:type="dxa"/>
              </w:trPr>
              <w:tc>
                <w:tcPr>
                  <w:tcW w:w="3880" w:type="dxa"/>
                  <w:shd w:val="clear" w:color="auto" w:fill="auto"/>
                  <w:vAlign w:val="center"/>
                  <w:hideMark/>
                </w:tcPr>
                <w:p w14:paraId="715E72A0" w14:textId="514CA9B0"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028561A9" wp14:editId="193E80D2">
                            <wp:simplePos x="0" y="0"/>
                            <wp:positionH relativeFrom="column">
                              <wp:posOffset>19685</wp:posOffset>
                            </wp:positionH>
                            <wp:positionV relativeFrom="paragraph">
                              <wp:posOffset>438785</wp:posOffset>
                            </wp:positionV>
                            <wp:extent cx="2306320" cy="7620"/>
                            <wp:effectExtent l="0" t="0" r="36830" b="30480"/>
                            <wp:wrapNone/>
                            <wp:docPr id="28" name="Łącznik prosty 28">
                              <a:extLst xmlns:a="http://schemas.openxmlformats.org/drawingml/2006/main">
                                <a:ext uri="{FF2B5EF4-FFF2-40B4-BE49-F238E27FC236}">
                                  <a16:creationId xmlns:a16="http://schemas.microsoft.com/office/drawing/2014/main" id="{D7115D23-19C0-4904-939B-3D1C269629D4}"/>
                                </a:ext>
                              </a:extLst>
                            </wp:docPr>
                            <wp:cNvGraphicFramePr/>
                            <a:graphic xmlns:a="http://schemas.openxmlformats.org/drawingml/2006/main">
                              <a:graphicData uri="http://schemas.microsoft.com/office/word/2010/wordprocessingShape">
                                <wps:wsp>
                                  <wps:cNvCnPr/>
                                  <wps:spPr>
                                    <a:xfrm>
                                      <a:off x="0" y="0"/>
                                      <a:ext cx="230632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313EF9" id="Łącznik prosty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34.55pt" to="183.1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" strokecolor="black [3040]" strokeweight="1pt"/>
                        </w:pict>
                      </mc:Fallback>
                    </mc:AlternateContent>
                  </w:r>
                  <w:r w:rsidRPr="00FF72EC">
                    <w:rPr>
                      <w:rFonts w:ascii="Garamond" w:eastAsia="Times New Roman" w:hAnsi="Garamond" w:cs="Arial"/>
                      <w:sz w:val="20"/>
                      <w:szCs w:val="20"/>
                    </w:rPr>
                    <w:t>(zobowiązania długoterminowe  + zobowiązania krótkoterminowe + rezerwy na zobowiązania )                         x 100%                                                                                                                                                 aktywa razem</w:t>
                  </w:r>
                </w:p>
              </w:tc>
            </w:tr>
          </w:tbl>
          <w:p w14:paraId="3B60F107"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nil"/>
              <w:left w:val="single" w:sz="4" w:space="0" w:color="auto"/>
              <w:bottom w:val="single" w:sz="4" w:space="0" w:color="auto"/>
              <w:right w:val="single" w:sz="4" w:space="0" w:color="auto"/>
            </w:tcBorders>
            <w:shd w:val="clear" w:color="auto" w:fill="auto"/>
            <w:vAlign w:val="center"/>
            <w:hideMark/>
          </w:tcPr>
          <w:p w14:paraId="110B734F"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poniżej 40 %                                    od 40%  do  60%                                             powyżej 60% do 80%                                                                                        powyżej 80%</w:t>
            </w:r>
          </w:p>
        </w:tc>
        <w:tc>
          <w:tcPr>
            <w:tcW w:w="1395" w:type="dxa"/>
            <w:tcBorders>
              <w:top w:val="nil"/>
              <w:left w:val="nil"/>
              <w:bottom w:val="single" w:sz="4" w:space="0" w:color="auto"/>
              <w:right w:val="single" w:sz="4" w:space="0" w:color="auto"/>
            </w:tcBorders>
            <w:shd w:val="clear" w:color="auto" w:fill="auto"/>
            <w:vAlign w:val="center"/>
            <w:hideMark/>
          </w:tcPr>
          <w:p w14:paraId="7F536866"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b/>
                <w:bCs/>
                <w:sz w:val="20"/>
                <w:szCs w:val="20"/>
              </w:rPr>
              <w:t>10</w:t>
            </w:r>
            <w:r w:rsidRPr="00FF72EC">
              <w:rPr>
                <w:rFonts w:ascii="Garamond" w:eastAsia="Times New Roman" w:hAnsi="Garamond" w:cs="Arial"/>
                <w:sz w:val="20"/>
                <w:szCs w:val="20"/>
              </w:rPr>
              <w:t xml:space="preserve">                          8                             3                                                                    0</w:t>
            </w:r>
          </w:p>
        </w:tc>
        <w:tc>
          <w:tcPr>
            <w:tcW w:w="870" w:type="dxa"/>
            <w:tcBorders>
              <w:top w:val="nil"/>
              <w:left w:val="nil"/>
              <w:bottom w:val="single" w:sz="4" w:space="0" w:color="auto"/>
              <w:right w:val="single" w:sz="4" w:space="0" w:color="auto"/>
            </w:tcBorders>
            <w:shd w:val="clear" w:color="auto" w:fill="auto"/>
            <w:vAlign w:val="center"/>
            <w:hideMark/>
          </w:tcPr>
          <w:p w14:paraId="3DD914EE" w14:textId="28E01F28" w:rsidR="00FF72EC" w:rsidRPr="00FF72EC" w:rsidRDefault="00AB5BD1" w:rsidP="00FF72EC">
            <w:pPr>
              <w:spacing w:after="0" w:line="240" w:lineRule="auto"/>
              <w:jc w:val="center"/>
              <w:rPr>
                <w:rFonts w:ascii="Garamond" w:eastAsia="Times New Roman" w:hAnsi="Garamond" w:cs="Arial"/>
                <w:b/>
                <w:bCs/>
              </w:rPr>
            </w:pPr>
            <w:r>
              <w:rPr>
                <w:rFonts w:ascii="Garamond" w:eastAsia="Times New Roman" w:hAnsi="Garamond" w:cs="Arial"/>
                <w:b/>
                <w:bCs/>
              </w:rPr>
              <w:t>1</w:t>
            </w:r>
            <w:r w:rsidR="0067151A">
              <w:rPr>
                <w:rFonts w:ascii="Garamond" w:eastAsia="Times New Roman" w:hAnsi="Garamond" w:cs="Arial"/>
                <w:b/>
                <w:bCs/>
              </w:rPr>
              <w:t>0</w:t>
            </w:r>
            <w:r w:rsidR="00FF72EC" w:rsidRPr="00FF72EC">
              <w:rPr>
                <w:rFonts w:ascii="Garamond" w:eastAsia="Times New Roman" w:hAnsi="Garamond" w:cs="Arial"/>
                <w:b/>
                <w:bCs/>
              </w:rPr>
              <w:t>%</w:t>
            </w:r>
          </w:p>
        </w:tc>
        <w:tc>
          <w:tcPr>
            <w:tcW w:w="1117" w:type="dxa"/>
            <w:tcBorders>
              <w:top w:val="nil"/>
              <w:left w:val="nil"/>
              <w:bottom w:val="single" w:sz="4" w:space="0" w:color="auto"/>
              <w:right w:val="single" w:sz="4" w:space="0" w:color="auto"/>
            </w:tcBorders>
            <w:shd w:val="clear" w:color="000000" w:fill="FFFFFF"/>
            <w:vAlign w:val="center"/>
            <w:hideMark/>
          </w:tcPr>
          <w:p w14:paraId="4C04BC50" w14:textId="77777777"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10</w:t>
            </w:r>
          </w:p>
        </w:tc>
        <w:tc>
          <w:tcPr>
            <w:tcW w:w="146" w:type="dxa"/>
            <w:vAlign w:val="center"/>
            <w:hideMark/>
          </w:tcPr>
          <w:p w14:paraId="6CB91856"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FF72EC" w14:paraId="7266B0DA" w14:textId="77777777" w:rsidTr="003D72E2">
        <w:trPr>
          <w:trHeight w:val="1545"/>
        </w:trPr>
        <w:tc>
          <w:tcPr>
            <w:tcW w:w="1348" w:type="dxa"/>
            <w:tcBorders>
              <w:top w:val="nil"/>
              <w:left w:val="single" w:sz="8" w:space="0" w:color="auto"/>
              <w:bottom w:val="single" w:sz="4" w:space="0" w:color="auto"/>
              <w:right w:val="single" w:sz="4" w:space="0" w:color="auto"/>
            </w:tcBorders>
            <w:shd w:val="clear" w:color="auto" w:fill="auto"/>
            <w:vAlign w:val="center"/>
            <w:hideMark/>
          </w:tcPr>
          <w:p w14:paraId="32862CBD" w14:textId="77777777" w:rsidR="00FF72EC" w:rsidRPr="00334F70" w:rsidRDefault="00FF72EC" w:rsidP="00FF72EC">
            <w:pPr>
              <w:spacing w:after="0" w:line="240" w:lineRule="auto"/>
              <w:rPr>
                <w:rFonts w:ascii="Garamond" w:eastAsia="Times New Roman" w:hAnsi="Garamond" w:cs="Arial"/>
                <w:b/>
                <w:bCs/>
                <w:sz w:val="18"/>
                <w:szCs w:val="18"/>
              </w:rPr>
            </w:pPr>
            <w:r w:rsidRPr="00334F70">
              <w:rPr>
                <w:rFonts w:ascii="Garamond" w:eastAsia="Times New Roman" w:hAnsi="Garamond" w:cs="Arial"/>
                <w:b/>
                <w:bCs/>
                <w:sz w:val="18"/>
                <w:szCs w:val="18"/>
              </w:rPr>
              <w:t>Wypłacalności</w:t>
            </w:r>
          </w:p>
        </w:tc>
        <w:tc>
          <w:tcPr>
            <w:tcW w:w="3960" w:type="dxa"/>
            <w:tcBorders>
              <w:top w:val="nil"/>
              <w:left w:val="nil"/>
              <w:bottom w:val="nil"/>
              <w:right w:val="single" w:sz="4" w:space="0" w:color="auto"/>
            </w:tcBorders>
            <w:shd w:val="clear" w:color="auto" w:fill="auto"/>
            <w:noWrap/>
            <w:vAlign w:val="bottom"/>
            <w:hideMark/>
          </w:tcPr>
          <w:p w14:paraId="606F1564" w14:textId="37128AE2" w:rsidR="00FF72EC" w:rsidRPr="00FF72EC" w:rsidRDefault="00FF72EC" w:rsidP="00FF72EC">
            <w:pPr>
              <w:spacing w:after="0" w:line="240" w:lineRule="auto"/>
              <w:rPr>
                <w:rFonts w:ascii="Arial" w:eastAsia="Times New Roman" w:hAnsi="Arial" w:cs="Arial"/>
                <w:sz w:val="20"/>
                <w:szCs w:val="20"/>
              </w:rPr>
            </w:pPr>
          </w:p>
          <w:tbl>
            <w:tblPr>
              <w:tblW w:w="0" w:type="auto"/>
              <w:tblCellSpacing w:w="0" w:type="dxa"/>
              <w:tblCellMar>
                <w:left w:w="0" w:type="dxa"/>
                <w:right w:w="0" w:type="dxa"/>
              </w:tblCellMar>
              <w:tblLook w:val="04A0" w:firstRow="1" w:lastRow="0" w:firstColumn="1" w:lastColumn="0" w:noHBand="0" w:noVBand="1"/>
            </w:tblPr>
            <w:tblGrid>
              <w:gridCol w:w="3678"/>
            </w:tblGrid>
            <w:tr w:rsidR="00FF72EC" w:rsidRPr="00FF72EC" w14:paraId="7D5E5F40" w14:textId="77777777" w:rsidTr="0094742C">
              <w:trPr>
                <w:trHeight w:val="1414"/>
                <w:tblCellSpacing w:w="0" w:type="dxa"/>
              </w:trPr>
              <w:tc>
                <w:tcPr>
                  <w:tcW w:w="3678" w:type="dxa"/>
                  <w:shd w:val="clear" w:color="auto" w:fill="auto"/>
                  <w:vAlign w:val="center"/>
                  <w:hideMark/>
                </w:tcPr>
                <w:p w14:paraId="20948927" w14:textId="5D66CBDA"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Arial" w:eastAsia="Times New Roman" w:hAnsi="Arial" w:cs="Arial"/>
                      <w:noProof/>
                      <w:sz w:val="20"/>
                      <w:szCs w:val="20"/>
                    </w:rPr>
                    <mc:AlternateContent>
                      <mc:Choice Requires="wps">
                        <w:drawing>
                          <wp:anchor distT="0" distB="0" distL="114300" distR="114300" simplePos="0" relativeHeight="251662336" behindDoc="0" locked="0" layoutInCell="1" allowOverlap="1" wp14:anchorId="520052B5" wp14:editId="464EAD69">
                            <wp:simplePos x="0" y="0"/>
                            <wp:positionH relativeFrom="column">
                              <wp:posOffset>11430</wp:posOffset>
                            </wp:positionH>
                            <wp:positionV relativeFrom="paragraph">
                              <wp:posOffset>288925</wp:posOffset>
                            </wp:positionV>
                            <wp:extent cx="2314575" cy="10795"/>
                            <wp:effectExtent l="0" t="0" r="28575" b="27305"/>
                            <wp:wrapNone/>
                            <wp:docPr id="29" name="Łącznik prosty 29">
                              <a:extLst xmlns:a="http://schemas.openxmlformats.org/drawingml/2006/main">
                                <a:ext uri="{FF2B5EF4-FFF2-40B4-BE49-F238E27FC236}">
                                  <a16:creationId xmlns:a16="http://schemas.microsoft.com/office/drawing/2014/main" id="{AA01AC6A-1C58-4E84-BF4B-C3356B685010}"/>
                                </a:ext>
                              </a:extLst>
                            </wp:docPr>
                            <wp:cNvGraphicFramePr/>
                            <a:graphic xmlns:a="http://schemas.openxmlformats.org/drawingml/2006/main">
                              <a:graphicData uri="http://schemas.microsoft.com/office/word/2010/wordprocessingShape">
                                <wps:wsp>
                                  <wps:cNvCnPr/>
                                  <wps:spPr>
                                    <a:xfrm>
                                      <a:off x="0" y="0"/>
                                      <a:ext cx="2314575" cy="1079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639CF8" id="Łącznik prosty 2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75pt" to="183.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" strokecolor="black [3040]" strokeweight="1pt"/>
                        </w:pict>
                      </mc:Fallback>
                    </mc:AlternateContent>
                  </w:r>
                  <w:r w:rsidRPr="00FF72EC">
                    <w:rPr>
                      <w:rFonts w:ascii="Garamond" w:eastAsia="Times New Roman" w:hAnsi="Garamond" w:cs="Arial"/>
                      <w:sz w:val="20"/>
                      <w:szCs w:val="20"/>
                    </w:rPr>
                    <w:t>zobowiązania długoterminowe  + zobowiązania krótkoterminowe + rezerwy na zobowiązania                                                                       fundusz własny</w:t>
                  </w:r>
                </w:p>
              </w:tc>
            </w:tr>
          </w:tbl>
          <w:p w14:paraId="28792265" w14:textId="77777777" w:rsidR="00FF72EC" w:rsidRPr="00FF72EC" w:rsidRDefault="00FF72EC" w:rsidP="00FF72EC">
            <w:pPr>
              <w:spacing w:after="0" w:line="240" w:lineRule="auto"/>
              <w:rPr>
                <w:rFonts w:ascii="Arial" w:eastAsia="Times New Roman" w:hAnsi="Arial" w:cs="Arial"/>
                <w:sz w:val="20"/>
                <w:szCs w:val="20"/>
              </w:rPr>
            </w:pPr>
          </w:p>
        </w:tc>
        <w:tc>
          <w:tcPr>
            <w:tcW w:w="187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4A29582E"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sz w:val="20"/>
                <w:szCs w:val="20"/>
              </w:rPr>
              <w:t xml:space="preserve"> od 0,00 do 0,50                               od 0,51 do 1,00                                             od 1,01 do 2,00                                                  od 2,01  do 4,00                                                                                       powyżej 4,00 lub poniżej 0,00</w:t>
            </w:r>
          </w:p>
        </w:tc>
        <w:tc>
          <w:tcPr>
            <w:tcW w:w="1395" w:type="dxa"/>
            <w:tcBorders>
              <w:top w:val="nil"/>
              <w:left w:val="nil"/>
              <w:bottom w:val="single" w:sz="4" w:space="0" w:color="auto"/>
              <w:right w:val="single" w:sz="4" w:space="0" w:color="auto"/>
            </w:tcBorders>
            <w:shd w:val="clear" w:color="auto" w:fill="auto"/>
            <w:hideMark/>
          </w:tcPr>
          <w:p w14:paraId="2F28AE3C" w14:textId="77777777" w:rsidR="00FF72EC" w:rsidRPr="00FF72EC" w:rsidRDefault="00FF72EC" w:rsidP="00FF72EC">
            <w:pPr>
              <w:spacing w:after="0" w:line="240" w:lineRule="auto"/>
              <w:jc w:val="center"/>
              <w:rPr>
                <w:rFonts w:ascii="Garamond" w:eastAsia="Times New Roman" w:hAnsi="Garamond" w:cs="Arial"/>
                <w:sz w:val="20"/>
                <w:szCs w:val="20"/>
              </w:rPr>
            </w:pPr>
            <w:r w:rsidRPr="00FF72EC">
              <w:rPr>
                <w:rFonts w:ascii="Garamond" w:eastAsia="Times New Roman" w:hAnsi="Garamond" w:cs="Arial"/>
                <w:b/>
                <w:bCs/>
                <w:sz w:val="20"/>
                <w:szCs w:val="20"/>
              </w:rPr>
              <w:t>10</w:t>
            </w:r>
            <w:r w:rsidRPr="00FF72EC">
              <w:rPr>
                <w:rFonts w:ascii="Garamond" w:eastAsia="Times New Roman" w:hAnsi="Garamond" w:cs="Arial"/>
                <w:sz w:val="20"/>
                <w:szCs w:val="20"/>
              </w:rPr>
              <w:t xml:space="preserve">                          8                             6                                                                    4                                  0</w:t>
            </w:r>
          </w:p>
        </w:tc>
        <w:tc>
          <w:tcPr>
            <w:tcW w:w="870" w:type="dxa"/>
            <w:tcBorders>
              <w:top w:val="nil"/>
              <w:left w:val="nil"/>
              <w:bottom w:val="single" w:sz="4" w:space="0" w:color="auto"/>
              <w:right w:val="single" w:sz="4" w:space="0" w:color="auto"/>
            </w:tcBorders>
            <w:shd w:val="clear" w:color="auto" w:fill="auto"/>
            <w:vAlign w:val="center"/>
            <w:hideMark/>
          </w:tcPr>
          <w:p w14:paraId="46B0FF40" w14:textId="4921DDA2"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0,</w:t>
            </w:r>
            <w:r w:rsidR="00AB5BD1">
              <w:rPr>
                <w:rFonts w:ascii="Garamond" w:eastAsia="Times New Roman" w:hAnsi="Garamond" w:cs="Arial"/>
                <w:b/>
                <w:bCs/>
              </w:rPr>
              <w:t>1</w:t>
            </w:r>
            <w:r w:rsidR="00522486">
              <w:rPr>
                <w:rFonts w:ascii="Garamond" w:eastAsia="Times New Roman" w:hAnsi="Garamond" w:cs="Arial"/>
                <w:b/>
                <w:bCs/>
              </w:rPr>
              <w:t>2</w:t>
            </w:r>
          </w:p>
        </w:tc>
        <w:tc>
          <w:tcPr>
            <w:tcW w:w="1117" w:type="dxa"/>
            <w:tcBorders>
              <w:top w:val="nil"/>
              <w:left w:val="nil"/>
              <w:bottom w:val="single" w:sz="4" w:space="0" w:color="auto"/>
              <w:right w:val="single" w:sz="4" w:space="0" w:color="auto"/>
            </w:tcBorders>
            <w:shd w:val="clear" w:color="000000" w:fill="FFFFFF"/>
            <w:vAlign w:val="center"/>
            <w:hideMark/>
          </w:tcPr>
          <w:p w14:paraId="0F3D10B8" w14:textId="77777777" w:rsidR="00FF72EC" w:rsidRPr="00FF72EC" w:rsidRDefault="00FF72EC" w:rsidP="00FF72EC">
            <w:pPr>
              <w:spacing w:after="0" w:line="240" w:lineRule="auto"/>
              <w:jc w:val="center"/>
              <w:rPr>
                <w:rFonts w:ascii="Garamond" w:eastAsia="Times New Roman" w:hAnsi="Garamond" w:cs="Arial"/>
                <w:b/>
                <w:bCs/>
              </w:rPr>
            </w:pPr>
            <w:r w:rsidRPr="00FF72EC">
              <w:rPr>
                <w:rFonts w:ascii="Garamond" w:eastAsia="Times New Roman" w:hAnsi="Garamond" w:cs="Arial"/>
                <w:b/>
                <w:bCs/>
              </w:rPr>
              <w:t>10</w:t>
            </w:r>
          </w:p>
        </w:tc>
        <w:tc>
          <w:tcPr>
            <w:tcW w:w="146" w:type="dxa"/>
            <w:vAlign w:val="center"/>
            <w:hideMark/>
          </w:tcPr>
          <w:p w14:paraId="34B72DD9" w14:textId="77777777" w:rsidR="00FF72EC" w:rsidRPr="00FF72EC" w:rsidRDefault="00FF72EC" w:rsidP="00FF72EC">
            <w:pPr>
              <w:spacing w:after="0" w:line="240" w:lineRule="auto"/>
              <w:rPr>
                <w:rFonts w:ascii="Times New Roman" w:eastAsia="Times New Roman" w:hAnsi="Times New Roman" w:cs="Times New Roman"/>
                <w:sz w:val="20"/>
                <w:szCs w:val="20"/>
              </w:rPr>
            </w:pPr>
          </w:p>
        </w:tc>
      </w:tr>
      <w:tr w:rsidR="00FF72EC" w:rsidRPr="00765010" w14:paraId="6ADF1D7E" w14:textId="77777777" w:rsidTr="003D72E2">
        <w:trPr>
          <w:trHeight w:val="375"/>
        </w:trPr>
        <w:tc>
          <w:tcPr>
            <w:tcW w:w="5308" w:type="dxa"/>
            <w:gridSpan w:val="2"/>
            <w:tcBorders>
              <w:top w:val="single" w:sz="8" w:space="0" w:color="auto"/>
              <w:left w:val="single" w:sz="8" w:space="0" w:color="auto"/>
              <w:bottom w:val="single" w:sz="8" w:space="0" w:color="auto"/>
              <w:right w:val="single" w:sz="4" w:space="0" w:color="auto"/>
            </w:tcBorders>
            <w:shd w:val="clear" w:color="000000" w:fill="FF9900"/>
            <w:noWrap/>
            <w:vAlign w:val="center"/>
            <w:hideMark/>
          </w:tcPr>
          <w:p w14:paraId="689B7EEC" w14:textId="77777777" w:rsidR="00FF72EC" w:rsidRPr="00765010" w:rsidRDefault="00FF72EC" w:rsidP="00FF72EC">
            <w:pPr>
              <w:spacing w:after="0" w:line="240" w:lineRule="auto"/>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 xml:space="preserve">          RAZEM   WSKAŹNIKI  EFEKTYWNOŚCI</w:t>
            </w:r>
          </w:p>
        </w:tc>
        <w:tc>
          <w:tcPr>
            <w:tcW w:w="1874" w:type="dxa"/>
            <w:tcBorders>
              <w:top w:val="single" w:sz="8" w:space="0" w:color="auto"/>
              <w:left w:val="single" w:sz="4" w:space="0" w:color="auto"/>
              <w:bottom w:val="single" w:sz="8" w:space="0" w:color="auto"/>
              <w:right w:val="single" w:sz="4" w:space="0" w:color="auto"/>
            </w:tcBorders>
            <w:shd w:val="clear" w:color="000000" w:fill="FF9900"/>
            <w:vAlign w:val="center"/>
            <w:hideMark/>
          </w:tcPr>
          <w:p w14:paraId="30611AF2" w14:textId="77777777" w:rsidR="00FF72EC" w:rsidRPr="00765010" w:rsidRDefault="00FF72EC" w:rsidP="00FF72E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Maksymalna ocena  pkt.</w:t>
            </w:r>
          </w:p>
        </w:tc>
        <w:tc>
          <w:tcPr>
            <w:tcW w:w="1395" w:type="dxa"/>
            <w:tcBorders>
              <w:top w:val="single" w:sz="8" w:space="0" w:color="auto"/>
              <w:left w:val="single" w:sz="4" w:space="0" w:color="auto"/>
              <w:bottom w:val="single" w:sz="8" w:space="0" w:color="auto"/>
              <w:right w:val="single" w:sz="4" w:space="0" w:color="auto"/>
            </w:tcBorders>
            <w:shd w:val="clear" w:color="000000" w:fill="FF9900"/>
            <w:noWrap/>
            <w:vAlign w:val="center"/>
            <w:hideMark/>
          </w:tcPr>
          <w:p w14:paraId="18538F62" w14:textId="77777777" w:rsidR="00FF72EC" w:rsidRPr="00765010" w:rsidRDefault="00FF72EC" w:rsidP="00FF72EC">
            <w:pPr>
              <w:spacing w:after="0" w:line="240" w:lineRule="auto"/>
              <w:jc w:val="center"/>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20</w:t>
            </w:r>
          </w:p>
        </w:tc>
        <w:tc>
          <w:tcPr>
            <w:tcW w:w="870" w:type="dxa"/>
            <w:tcBorders>
              <w:top w:val="single" w:sz="8" w:space="0" w:color="auto"/>
              <w:left w:val="nil"/>
              <w:bottom w:val="single" w:sz="8" w:space="0" w:color="auto"/>
              <w:right w:val="nil"/>
            </w:tcBorders>
            <w:shd w:val="clear" w:color="000000" w:fill="FF9900"/>
            <w:vAlign w:val="center"/>
            <w:hideMark/>
          </w:tcPr>
          <w:p w14:paraId="58B0516E" w14:textId="77777777" w:rsidR="00FF72EC" w:rsidRPr="00765010" w:rsidRDefault="00FF72EC" w:rsidP="00FF72EC">
            <w:pPr>
              <w:spacing w:after="0" w:line="240" w:lineRule="auto"/>
              <w:jc w:val="center"/>
              <w:rPr>
                <w:rFonts w:ascii="Times New Roman" w:eastAsia="Times New Roman" w:hAnsi="Times New Roman" w:cs="Times New Roman"/>
                <w:color w:val="000000"/>
                <w:sz w:val="24"/>
                <w:szCs w:val="24"/>
              </w:rPr>
            </w:pPr>
            <w:r w:rsidRPr="00765010">
              <w:rPr>
                <w:rFonts w:ascii="Times New Roman" w:eastAsia="Times New Roman" w:hAnsi="Times New Roman" w:cs="Times New Roman"/>
                <w:color w:val="000000"/>
                <w:sz w:val="24"/>
                <w:szCs w:val="24"/>
              </w:rPr>
              <w:t>Uzyskane pkt.</w:t>
            </w:r>
          </w:p>
        </w:tc>
        <w:tc>
          <w:tcPr>
            <w:tcW w:w="1117" w:type="dxa"/>
            <w:tcBorders>
              <w:top w:val="single" w:sz="8" w:space="0" w:color="auto"/>
              <w:left w:val="nil"/>
              <w:bottom w:val="single" w:sz="4" w:space="0" w:color="auto"/>
              <w:right w:val="single" w:sz="8" w:space="0" w:color="auto"/>
            </w:tcBorders>
            <w:shd w:val="clear" w:color="000000" w:fill="FF9900"/>
            <w:vAlign w:val="center"/>
            <w:hideMark/>
          </w:tcPr>
          <w:p w14:paraId="7F30D6F4" w14:textId="77777777" w:rsidR="00FF72EC" w:rsidRPr="00765010" w:rsidRDefault="00FF72EC" w:rsidP="00FF72EC">
            <w:pPr>
              <w:spacing w:after="0" w:line="240" w:lineRule="auto"/>
              <w:jc w:val="center"/>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20</w:t>
            </w:r>
          </w:p>
        </w:tc>
        <w:tc>
          <w:tcPr>
            <w:tcW w:w="146" w:type="dxa"/>
            <w:vAlign w:val="center"/>
            <w:hideMark/>
          </w:tcPr>
          <w:p w14:paraId="0FB3415C" w14:textId="77777777" w:rsidR="00FF72EC" w:rsidRPr="00765010" w:rsidRDefault="00FF72EC" w:rsidP="00FF72EC">
            <w:pPr>
              <w:spacing w:after="0" w:line="240" w:lineRule="auto"/>
              <w:rPr>
                <w:rFonts w:ascii="Times New Roman" w:eastAsia="Times New Roman" w:hAnsi="Times New Roman" w:cs="Times New Roman"/>
                <w:sz w:val="24"/>
                <w:szCs w:val="24"/>
              </w:rPr>
            </w:pPr>
          </w:p>
        </w:tc>
      </w:tr>
      <w:tr w:rsidR="0094742C" w:rsidRPr="00765010" w14:paraId="43931D82" w14:textId="77777777" w:rsidTr="003D72E2">
        <w:trPr>
          <w:trHeight w:val="210"/>
        </w:trPr>
        <w:tc>
          <w:tcPr>
            <w:tcW w:w="1348" w:type="dxa"/>
            <w:tcBorders>
              <w:top w:val="single" w:sz="4" w:space="0" w:color="auto"/>
              <w:left w:val="single" w:sz="4" w:space="0" w:color="auto"/>
              <w:bottom w:val="nil"/>
              <w:right w:val="nil"/>
            </w:tcBorders>
            <w:shd w:val="clear" w:color="auto" w:fill="auto"/>
            <w:vAlign w:val="center"/>
          </w:tcPr>
          <w:p w14:paraId="0C7B5806" w14:textId="459A1837" w:rsidR="0094742C" w:rsidRPr="00765010" w:rsidRDefault="0094742C" w:rsidP="0094742C">
            <w:pPr>
              <w:spacing w:after="0" w:line="240" w:lineRule="auto"/>
              <w:rPr>
                <w:rFonts w:ascii="Times New Roman" w:eastAsia="Times New Roman" w:hAnsi="Times New Roman" w:cs="Times New Roman"/>
                <w:b/>
                <w:bCs/>
                <w:sz w:val="24"/>
                <w:szCs w:val="24"/>
              </w:rPr>
            </w:pPr>
          </w:p>
        </w:tc>
        <w:tc>
          <w:tcPr>
            <w:tcW w:w="3960" w:type="dxa"/>
            <w:tcBorders>
              <w:top w:val="single" w:sz="4" w:space="0" w:color="auto"/>
              <w:left w:val="nil"/>
              <w:bottom w:val="nil"/>
              <w:right w:val="nil"/>
            </w:tcBorders>
            <w:shd w:val="clear" w:color="auto" w:fill="auto"/>
            <w:vAlign w:val="center"/>
            <w:hideMark/>
          </w:tcPr>
          <w:p w14:paraId="72EC8B5C" w14:textId="778DD7B4" w:rsidR="0094742C" w:rsidRPr="00765010" w:rsidRDefault="0094742C" w:rsidP="0094742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b/>
                <w:bCs/>
                <w:sz w:val="24"/>
                <w:szCs w:val="24"/>
              </w:rPr>
              <w:t> </w:t>
            </w:r>
          </w:p>
        </w:tc>
        <w:tc>
          <w:tcPr>
            <w:tcW w:w="1874" w:type="dxa"/>
            <w:tcBorders>
              <w:top w:val="single" w:sz="4" w:space="0" w:color="auto"/>
              <w:left w:val="nil"/>
              <w:bottom w:val="nil"/>
              <w:right w:val="nil"/>
            </w:tcBorders>
            <w:shd w:val="clear" w:color="auto" w:fill="auto"/>
            <w:vAlign w:val="center"/>
            <w:hideMark/>
          </w:tcPr>
          <w:p w14:paraId="77AB3690" w14:textId="77777777" w:rsidR="0094742C" w:rsidRPr="00765010" w:rsidRDefault="0094742C" w:rsidP="0094742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w:t>
            </w:r>
          </w:p>
        </w:tc>
        <w:tc>
          <w:tcPr>
            <w:tcW w:w="1395" w:type="dxa"/>
            <w:tcBorders>
              <w:top w:val="single" w:sz="4" w:space="0" w:color="auto"/>
              <w:left w:val="nil"/>
              <w:bottom w:val="nil"/>
              <w:right w:val="nil"/>
            </w:tcBorders>
            <w:shd w:val="clear" w:color="auto" w:fill="auto"/>
            <w:hideMark/>
          </w:tcPr>
          <w:p w14:paraId="7E59331C" w14:textId="77777777" w:rsidR="0094742C" w:rsidRPr="00765010" w:rsidRDefault="0094742C" w:rsidP="0094742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w:t>
            </w:r>
          </w:p>
        </w:tc>
        <w:tc>
          <w:tcPr>
            <w:tcW w:w="870" w:type="dxa"/>
            <w:tcBorders>
              <w:top w:val="single" w:sz="4" w:space="0" w:color="auto"/>
              <w:left w:val="nil"/>
              <w:bottom w:val="nil"/>
              <w:right w:val="nil"/>
            </w:tcBorders>
            <w:shd w:val="clear" w:color="auto" w:fill="auto"/>
            <w:vAlign w:val="center"/>
            <w:hideMark/>
          </w:tcPr>
          <w:p w14:paraId="3F0AC2AA" w14:textId="77777777" w:rsidR="0094742C" w:rsidRPr="00765010" w:rsidRDefault="0094742C" w:rsidP="0094742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w:t>
            </w:r>
          </w:p>
        </w:tc>
        <w:tc>
          <w:tcPr>
            <w:tcW w:w="1117" w:type="dxa"/>
            <w:tcBorders>
              <w:top w:val="single" w:sz="4" w:space="0" w:color="auto"/>
              <w:left w:val="nil"/>
              <w:bottom w:val="nil"/>
              <w:right w:val="single" w:sz="4" w:space="0" w:color="auto"/>
            </w:tcBorders>
            <w:shd w:val="clear" w:color="000000" w:fill="FFFFFF"/>
            <w:vAlign w:val="center"/>
            <w:hideMark/>
          </w:tcPr>
          <w:p w14:paraId="1ADAD997" w14:textId="77777777" w:rsidR="0094742C" w:rsidRPr="00765010" w:rsidRDefault="0094742C" w:rsidP="0094742C">
            <w:pPr>
              <w:spacing w:after="0" w:line="240" w:lineRule="auto"/>
              <w:jc w:val="center"/>
              <w:rPr>
                <w:rFonts w:ascii="Times New Roman" w:eastAsia="Times New Roman" w:hAnsi="Times New Roman" w:cs="Times New Roman"/>
                <w:sz w:val="24"/>
                <w:szCs w:val="24"/>
              </w:rPr>
            </w:pPr>
            <w:r w:rsidRPr="00765010">
              <w:rPr>
                <w:rFonts w:ascii="Times New Roman" w:eastAsia="Times New Roman" w:hAnsi="Times New Roman" w:cs="Times New Roman"/>
                <w:sz w:val="24"/>
                <w:szCs w:val="24"/>
              </w:rPr>
              <w:t> </w:t>
            </w:r>
          </w:p>
        </w:tc>
        <w:tc>
          <w:tcPr>
            <w:tcW w:w="146" w:type="dxa"/>
            <w:tcBorders>
              <w:left w:val="single" w:sz="4" w:space="0" w:color="auto"/>
            </w:tcBorders>
            <w:vAlign w:val="center"/>
            <w:hideMark/>
          </w:tcPr>
          <w:p w14:paraId="58DA238F" w14:textId="77777777" w:rsidR="0094742C" w:rsidRPr="00765010" w:rsidRDefault="0094742C" w:rsidP="0094742C">
            <w:pPr>
              <w:spacing w:after="0" w:line="240" w:lineRule="auto"/>
              <w:rPr>
                <w:rFonts w:ascii="Times New Roman" w:eastAsia="Times New Roman" w:hAnsi="Times New Roman" w:cs="Times New Roman"/>
                <w:sz w:val="24"/>
                <w:szCs w:val="24"/>
              </w:rPr>
            </w:pPr>
          </w:p>
        </w:tc>
      </w:tr>
      <w:tr w:rsidR="0094742C" w:rsidRPr="00765010" w14:paraId="3BB564C5" w14:textId="77777777" w:rsidTr="003D72E2">
        <w:trPr>
          <w:trHeight w:val="390"/>
        </w:trPr>
        <w:tc>
          <w:tcPr>
            <w:tcW w:w="9447" w:type="dxa"/>
            <w:gridSpan w:val="5"/>
            <w:tcBorders>
              <w:top w:val="single" w:sz="4" w:space="0" w:color="auto"/>
              <w:left w:val="single" w:sz="8" w:space="0" w:color="auto"/>
              <w:bottom w:val="single" w:sz="8" w:space="0" w:color="auto"/>
              <w:right w:val="nil"/>
            </w:tcBorders>
            <w:shd w:val="clear" w:color="000000" w:fill="FF9900"/>
            <w:noWrap/>
            <w:vAlign w:val="center"/>
            <w:hideMark/>
          </w:tcPr>
          <w:p w14:paraId="7DDFE807" w14:textId="77777777" w:rsidR="0094742C" w:rsidRPr="00765010" w:rsidRDefault="0094742C" w:rsidP="0094742C">
            <w:pPr>
              <w:spacing w:after="0" w:line="240" w:lineRule="auto"/>
              <w:jc w:val="center"/>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SUMA  UZYSKANYCH  PUNKTÓW</w:t>
            </w:r>
          </w:p>
        </w:tc>
        <w:tc>
          <w:tcPr>
            <w:tcW w:w="1117" w:type="dxa"/>
            <w:tcBorders>
              <w:top w:val="single" w:sz="4" w:space="0" w:color="auto"/>
              <w:left w:val="nil"/>
              <w:bottom w:val="single" w:sz="8" w:space="0" w:color="auto"/>
              <w:right w:val="single" w:sz="8" w:space="0" w:color="auto"/>
            </w:tcBorders>
            <w:shd w:val="clear" w:color="000000" w:fill="FF9900"/>
            <w:noWrap/>
            <w:vAlign w:val="center"/>
            <w:hideMark/>
          </w:tcPr>
          <w:p w14:paraId="11D552A7" w14:textId="19904AF6" w:rsidR="0094742C" w:rsidRPr="00765010" w:rsidRDefault="0094742C" w:rsidP="0094742C">
            <w:pPr>
              <w:spacing w:after="0" w:line="240" w:lineRule="auto"/>
              <w:jc w:val="center"/>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6</w:t>
            </w:r>
            <w:r w:rsidR="003D72E2" w:rsidRPr="00765010">
              <w:rPr>
                <w:rFonts w:ascii="Times New Roman" w:eastAsia="Times New Roman" w:hAnsi="Times New Roman" w:cs="Times New Roman"/>
                <w:b/>
                <w:bCs/>
                <w:sz w:val="24"/>
                <w:szCs w:val="24"/>
              </w:rPr>
              <w:t>5</w:t>
            </w:r>
          </w:p>
        </w:tc>
        <w:tc>
          <w:tcPr>
            <w:tcW w:w="146" w:type="dxa"/>
            <w:vAlign w:val="center"/>
            <w:hideMark/>
          </w:tcPr>
          <w:p w14:paraId="3FD078C1" w14:textId="77777777" w:rsidR="0094742C" w:rsidRPr="00765010" w:rsidRDefault="0094742C" w:rsidP="0094742C">
            <w:pPr>
              <w:spacing w:after="0" w:line="240" w:lineRule="auto"/>
              <w:rPr>
                <w:rFonts w:ascii="Times New Roman" w:eastAsia="Times New Roman" w:hAnsi="Times New Roman" w:cs="Times New Roman"/>
                <w:sz w:val="24"/>
                <w:szCs w:val="24"/>
              </w:rPr>
            </w:pPr>
          </w:p>
        </w:tc>
      </w:tr>
    </w:tbl>
    <w:p w14:paraId="4BF115D4" w14:textId="77777777" w:rsidR="00FF72EC" w:rsidRPr="00765010" w:rsidRDefault="00FF72EC" w:rsidP="00BD414B">
      <w:pPr>
        <w:pStyle w:val="Akapitzlist"/>
        <w:jc w:val="both"/>
        <w:rPr>
          <w:iCs/>
          <w:color w:val="000000" w:themeColor="text1"/>
          <w:kern w:val="24"/>
        </w:rPr>
      </w:pPr>
    </w:p>
    <w:p w14:paraId="4798C77D" w14:textId="59B2CEF8" w:rsidR="00800361" w:rsidRPr="00765010" w:rsidRDefault="00800361" w:rsidP="00BD414B">
      <w:pPr>
        <w:jc w:val="center"/>
        <w:rPr>
          <w:rFonts w:ascii="Times New Roman" w:hAnsi="Times New Roman" w:cs="Times New Roman"/>
          <w:iCs/>
          <w:color w:val="000000" w:themeColor="text1"/>
          <w:kern w:val="24"/>
          <w:sz w:val="24"/>
          <w:szCs w:val="24"/>
        </w:rPr>
      </w:pPr>
    </w:p>
    <w:p w14:paraId="6C9D800F" w14:textId="27CA33FC" w:rsidR="00A93BEA" w:rsidRPr="00765010" w:rsidRDefault="00A93BEA" w:rsidP="00A57A5B">
      <w:pPr>
        <w:pStyle w:val="Akapitzlist"/>
        <w:numPr>
          <w:ilvl w:val="0"/>
          <w:numId w:val="10"/>
        </w:numPr>
        <w:spacing w:line="276" w:lineRule="auto"/>
        <w:jc w:val="both"/>
        <w:rPr>
          <w:rFonts w:eastAsiaTheme="minorEastAsia"/>
          <w:b/>
          <w:iCs/>
          <w:color w:val="000000" w:themeColor="text1"/>
          <w:kern w:val="24"/>
          <w:u w:val="single"/>
        </w:rPr>
      </w:pPr>
      <w:r w:rsidRPr="00765010">
        <w:rPr>
          <w:rFonts w:eastAsiaTheme="minorEastAsia"/>
          <w:b/>
          <w:iCs/>
          <w:color w:val="000000" w:themeColor="text1"/>
          <w:kern w:val="24"/>
          <w:u w:val="single"/>
        </w:rPr>
        <w:t>Wskaźniki zyskowności;</w:t>
      </w:r>
    </w:p>
    <w:p w14:paraId="1339169A" w14:textId="77777777" w:rsidR="00975B60" w:rsidRPr="00765010" w:rsidRDefault="00975B60" w:rsidP="00A57A5B">
      <w:pPr>
        <w:pStyle w:val="Akapitzlist"/>
        <w:spacing w:line="276" w:lineRule="auto"/>
        <w:jc w:val="both"/>
        <w:rPr>
          <w:rFonts w:eastAsiaTheme="minorEastAsia"/>
          <w:b/>
          <w:iCs/>
          <w:color w:val="000000" w:themeColor="text1"/>
          <w:kern w:val="24"/>
          <w:u w:val="single"/>
        </w:rPr>
      </w:pPr>
    </w:p>
    <w:p w14:paraId="2FC63126" w14:textId="3EFD95B9" w:rsidR="00343DB9" w:rsidRPr="00765010" w:rsidRDefault="00A93BEA" w:rsidP="002547F5">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Podstawą oceny zyskowności działalności </w:t>
      </w:r>
      <w:r w:rsidR="00FB27E7" w:rsidRPr="00765010">
        <w:rPr>
          <w:rFonts w:ascii="Times New Roman" w:hAnsi="Times New Roman" w:cs="Times New Roman"/>
          <w:iCs/>
          <w:color w:val="000000" w:themeColor="text1"/>
          <w:kern w:val="24"/>
          <w:sz w:val="24"/>
          <w:szCs w:val="24"/>
        </w:rPr>
        <w:t xml:space="preserve"> zakładu </w:t>
      </w:r>
      <w:r w:rsidRPr="00765010">
        <w:rPr>
          <w:rFonts w:ascii="Times New Roman" w:hAnsi="Times New Roman" w:cs="Times New Roman"/>
          <w:iCs/>
          <w:color w:val="000000" w:themeColor="text1"/>
          <w:kern w:val="24"/>
          <w:sz w:val="24"/>
          <w:szCs w:val="24"/>
        </w:rPr>
        <w:t>jest wynik finansowy, który może być dodatni</w:t>
      </w:r>
      <w:r w:rsidR="005B2EE9" w:rsidRPr="00765010">
        <w:rPr>
          <w:rFonts w:ascii="Times New Roman" w:hAnsi="Times New Roman" w:cs="Times New Roman"/>
          <w:iCs/>
          <w:color w:val="000000" w:themeColor="text1"/>
          <w:kern w:val="24"/>
          <w:sz w:val="24"/>
          <w:szCs w:val="24"/>
        </w:rPr>
        <w:t xml:space="preserve">      </w:t>
      </w:r>
    </w:p>
    <w:p w14:paraId="3764BE2D" w14:textId="77777777" w:rsidR="00BA65C8" w:rsidRPr="00765010" w:rsidRDefault="005B2EE9" w:rsidP="00A57A5B">
      <w:pPr>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A93BEA" w:rsidRPr="00765010">
        <w:rPr>
          <w:rFonts w:ascii="Times New Roman" w:hAnsi="Times New Roman" w:cs="Times New Roman"/>
          <w:iCs/>
          <w:color w:val="000000" w:themeColor="text1"/>
          <w:kern w:val="24"/>
          <w:sz w:val="24"/>
          <w:szCs w:val="24"/>
        </w:rPr>
        <w:t>( zysk) lub ujemny (strata).Wynik finansowy SPZOZ Sławków za 20</w:t>
      </w:r>
      <w:r w:rsidR="00AB5BD1" w:rsidRPr="00765010">
        <w:rPr>
          <w:rFonts w:ascii="Times New Roman" w:hAnsi="Times New Roman" w:cs="Times New Roman"/>
          <w:iCs/>
          <w:color w:val="000000" w:themeColor="text1"/>
          <w:kern w:val="24"/>
          <w:sz w:val="24"/>
          <w:szCs w:val="24"/>
        </w:rPr>
        <w:t>2</w:t>
      </w:r>
      <w:r w:rsidR="00BA65C8" w:rsidRPr="00765010">
        <w:rPr>
          <w:rFonts w:ascii="Times New Roman" w:hAnsi="Times New Roman" w:cs="Times New Roman"/>
          <w:iCs/>
          <w:color w:val="000000" w:themeColor="text1"/>
          <w:kern w:val="24"/>
          <w:sz w:val="24"/>
          <w:szCs w:val="24"/>
        </w:rPr>
        <w:t>3</w:t>
      </w:r>
      <w:r w:rsidR="00343DB9" w:rsidRPr="00765010">
        <w:rPr>
          <w:rFonts w:ascii="Times New Roman" w:hAnsi="Times New Roman" w:cs="Times New Roman"/>
          <w:iCs/>
          <w:color w:val="000000" w:themeColor="text1"/>
          <w:kern w:val="24"/>
          <w:sz w:val="24"/>
          <w:szCs w:val="24"/>
        </w:rPr>
        <w:t xml:space="preserve"> </w:t>
      </w:r>
      <w:r w:rsidR="00A93BEA" w:rsidRPr="00765010">
        <w:rPr>
          <w:rFonts w:ascii="Times New Roman" w:hAnsi="Times New Roman" w:cs="Times New Roman"/>
          <w:iCs/>
          <w:color w:val="000000" w:themeColor="text1"/>
          <w:kern w:val="24"/>
          <w:sz w:val="24"/>
          <w:szCs w:val="24"/>
        </w:rPr>
        <w:t>r</w:t>
      </w:r>
      <w:r w:rsidR="00343DB9" w:rsidRPr="00765010">
        <w:rPr>
          <w:rFonts w:ascii="Times New Roman" w:hAnsi="Times New Roman" w:cs="Times New Roman"/>
          <w:iCs/>
          <w:color w:val="000000" w:themeColor="text1"/>
          <w:kern w:val="24"/>
          <w:sz w:val="24"/>
          <w:szCs w:val="24"/>
        </w:rPr>
        <w:t>ok</w:t>
      </w:r>
      <w:r w:rsidR="00A93BEA" w:rsidRPr="00765010">
        <w:rPr>
          <w:rFonts w:ascii="Times New Roman" w:hAnsi="Times New Roman" w:cs="Times New Roman"/>
          <w:iCs/>
          <w:color w:val="000000" w:themeColor="text1"/>
          <w:kern w:val="24"/>
          <w:sz w:val="24"/>
          <w:szCs w:val="24"/>
        </w:rPr>
        <w:t xml:space="preserve"> wyniósł: </w:t>
      </w:r>
      <w:r w:rsidR="00BA65C8" w:rsidRPr="00765010">
        <w:rPr>
          <w:rFonts w:ascii="Times New Roman" w:hAnsi="Times New Roman" w:cs="Times New Roman"/>
          <w:iCs/>
          <w:color w:val="000000" w:themeColor="text1"/>
          <w:kern w:val="24"/>
          <w:sz w:val="24"/>
          <w:szCs w:val="24"/>
        </w:rPr>
        <w:t>281 010,06</w:t>
      </w:r>
      <w:r w:rsidR="00343DB9" w:rsidRPr="00765010">
        <w:rPr>
          <w:rFonts w:ascii="Times New Roman" w:hAnsi="Times New Roman" w:cs="Times New Roman"/>
          <w:iCs/>
          <w:color w:val="000000" w:themeColor="text1"/>
          <w:kern w:val="24"/>
          <w:sz w:val="24"/>
          <w:szCs w:val="24"/>
        </w:rPr>
        <w:t xml:space="preserve">zł </w:t>
      </w:r>
      <w:r w:rsidR="00A93BEA" w:rsidRPr="00765010">
        <w:rPr>
          <w:rFonts w:ascii="Times New Roman" w:hAnsi="Times New Roman" w:cs="Times New Roman"/>
          <w:iCs/>
          <w:color w:val="000000" w:themeColor="text1"/>
          <w:kern w:val="24"/>
          <w:sz w:val="24"/>
          <w:szCs w:val="24"/>
        </w:rPr>
        <w:t xml:space="preserve"> (zysk)</w:t>
      </w:r>
      <w:r w:rsidRPr="00765010">
        <w:rPr>
          <w:rFonts w:ascii="Times New Roman" w:hAnsi="Times New Roman" w:cs="Times New Roman"/>
          <w:iCs/>
          <w:color w:val="000000" w:themeColor="text1"/>
          <w:kern w:val="24"/>
          <w:sz w:val="24"/>
          <w:szCs w:val="24"/>
        </w:rPr>
        <w:t>.</w:t>
      </w:r>
    </w:p>
    <w:p w14:paraId="7146A799" w14:textId="2FD19435" w:rsidR="00A93BEA" w:rsidRPr="00765010" w:rsidRDefault="00A93BEA" w:rsidP="002547F5">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Wskaźniki zyskowności są najbardziej syntetycznymi wskaźnikami efektywności i opłacalności działalności zakładu.</w:t>
      </w:r>
      <w:r w:rsidR="0041057E" w:rsidRPr="00765010">
        <w:rPr>
          <w:rFonts w:ascii="Times New Roman" w:hAnsi="Times New Roman" w:cs="Times New Roman"/>
          <w:iCs/>
          <w:color w:val="000000" w:themeColor="text1"/>
          <w:kern w:val="24"/>
          <w:sz w:val="24"/>
          <w:szCs w:val="24"/>
        </w:rPr>
        <w:t xml:space="preserve"> Odzwierciedlają zdolność zakładu do wypracowania zysków z zaangażowaniem kapitałów a zatem określają ekonomiczną efektywność działalności. Otrzymane dodatnie wartości wskaźników informują</w:t>
      </w:r>
      <w:r w:rsidR="002547F5">
        <w:rPr>
          <w:rFonts w:ascii="Times New Roman" w:hAnsi="Times New Roman" w:cs="Times New Roman"/>
          <w:iCs/>
          <w:color w:val="000000" w:themeColor="text1"/>
          <w:kern w:val="24"/>
          <w:sz w:val="24"/>
          <w:szCs w:val="24"/>
        </w:rPr>
        <w:t xml:space="preserve"> </w:t>
      </w:r>
      <w:r w:rsidR="0041057E" w:rsidRPr="00765010">
        <w:rPr>
          <w:rFonts w:ascii="Times New Roman" w:hAnsi="Times New Roman" w:cs="Times New Roman"/>
          <w:iCs/>
          <w:color w:val="000000" w:themeColor="text1"/>
          <w:kern w:val="24"/>
          <w:sz w:val="24"/>
          <w:szCs w:val="24"/>
        </w:rPr>
        <w:t xml:space="preserve"> o racjonalnym gospodarowaniu, gdzie przychody podmiotu przewyższają koszty.</w:t>
      </w:r>
    </w:p>
    <w:p w14:paraId="3E988501" w14:textId="77777777" w:rsidR="0041057E" w:rsidRPr="00765010" w:rsidRDefault="0041057E" w:rsidP="009E33E0">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Reasumując im większe wartości przyjmuje wskaźnik zyskowności, tym bardziej efektywna </w:t>
      </w:r>
      <w:r w:rsidR="005B2EE9" w:rsidRPr="00765010">
        <w:rPr>
          <w:rFonts w:ascii="Times New Roman" w:hAnsi="Times New Roman" w:cs="Times New Roman"/>
          <w:iCs/>
          <w:color w:val="000000" w:themeColor="text1"/>
          <w:kern w:val="24"/>
          <w:sz w:val="24"/>
          <w:szCs w:val="24"/>
        </w:rPr>
        <w:t xml:space="preserve"> jest </w:t>
      </w:r>
      <w:r w:rsidRPr="00765010">
        <w:rPr>
          <w:rFonts w:ascii="Times New Roman" w:hAnsi="Times New Roman" w:cs="Times New Roman"/>
          <w:iCs/>
          <w:color w:val="000000" w:themeColor="text1"/>
          <w:kern w:val="24"/>
          <w:sz w:val="24"/>
          <w:szCs w:val="24"/>
        </w:rPr>
        <w:t>działalność zakładu.</w:t>
      </w:r>
    </w:p>
    <w:p w14:paraId="7C334AE8" w14:textId="03128248" w:rsidR="0041057E" w:rsidRPr="00765010" w:rsidRDefault="005B2EE9" w:rsidP="009E33E0">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Samodzieln</w:t>
      </w:r>
      <w:r w:rsidR="00343DB9" w:rsidRPr="00765010">
        <w:rPr>
          <w:rFonts w:ascii="Times New Roman" w:hAnsi="Times New Roman" w:cs="Times New Roman"/>
          <w:iCs/>
          <w:color w:val="000000" w:themeColor="text1"/>
          <w:kern w:val="24"/>
          <w:sz w:val="24"/>
          <w:szCs w:val="24"/>
        </w:rPr>
        <w:t xml:space="preserve">y Publiczny </w:t>
      </w:r>
      <w:r w:rsidR="0041057E" w:rsidRPr="00765010">
        <w:rPr>
          <w:rFonts w:ascii="Times New Roman" w:hAnsi="Times New Roman" w:cs="Times New Roman"/>
          <w:iCs/>
          <w:color w:val="000000" w:themeColor="text1"/>
          <w:kern w:val="24"/>
          <w:sz w:val="24"/>
          <w:szCs w:val="24"/>
        </w:rPr>
        <w:t xml:space="preserve"> Zakład Opieki Zdrowotnej </w:t>
      </w:r>
      <w:r w:rsidR="00343DB9" w:rsidRPr="00765010">
        <w:rPr>
          <w:rFonts w:ascii="Times New Roman" w:hAnsi="Times New Roman" w:cs="Times New Roman"/>
          <w:iCs/>
          <w:color w:val="000000" w:themeColor="text1"/>
          <w:kern w:val="24"/>
          <w:sz w:val="24"/>
          <w:szCs w:val="24"/>
        </w:rPr>
        <w:t xml:space="preserve">jest </w:t>
      </w:r>
      <w:r w:rsidR="0041057E" w:rsidRPr="00765010">
        <w:rPr>
          <w:rFonts w:ascii="Times New Roman" w:hAnsi="Times New Roman" w:cs="Times New Roman"/>
          <w:iCs/>
          <w:color w:val="000000" w:themeColor="text1"/>
          <w:kern w:val="24"/>
          <w:sz w:val="24"/>
          <w:szCs w:val="24"/>
        </w:rPr>
        <w:t xml:space="preserve"> organizac</w:t>
      </w:r>
      <w:r w:rsidR="00343DB9" w:rsidRPr="00765010">
        <w:rPr>
          <w:rFonts w:ascii="Times New Roman" w:hAnsi="Times New Roman" w:cs="Times New Roman"/>
          <w:iCs/>
          <w:color w:val="000000" w:themeColor="text1"/>
          <w:kern w:val="24"/>
          <w:sz w:val="24"/>
          <w:szCs w:val="24"/>
        </w:rPr>
        <w:t>ją</w:t>
      </w:r>
      <w:r w:rsidR="0041057E" w:rsidRPr="00765010">
        <w:rPr>
          <w:rFonts w:ascii="Times New Roman" w:hAnsi="Times New Roman" w:cs="Times New Roman"/>
          <w:iCs/>
          <w:color w:val="000000" w:themeColor="text1"/>
          <w:kern w:val="24"/>
          <w:sz w:val="24"/>
          <w:szCs w:val="24"/>
        </w:rPr>
        <w:t xml:space="preserve"> ,,non profit” i</w:t>
      </w:r>
      <w:r w:rsidR="00343DB9" w:rsidRPr="00765010">
        <w:rPr>
          <w:rFonts w:ascii="Times New Roman" w:hAnsi="Times New Roman" w:cs="Times New Roman"/>
          <w:iCs/>
          <w:color w:val="000000" w:themeColor="text1"/>
          <w:kern w:val="24"/>
          <w:sz w:val="24"/>
          <w:szCs w:val="24"/>
        </w:rPr>
        <w:t xml:space="preserve"> naszym </w:t>
      </w:r>
      <w:r w:rsidR="0041057E" w:rsidRPr="00765010">
        <w:rPr>
          <w:rFonts w:ascii="Times New Roman" w:hAnsi="Times New Roman" w:cs="Times New Roman"/>
          <w:iCs/>
          <w:color w:val="000000" w:themeColor="text1"/>
          <w:kern w:val="24"/>
          <w:sz w:val="24"/>
          <w:szCs w:val="24"/>
        </w:rPr>
        <w:t xml:space="preserve"> </w:t>
      </w:r>
      <w:r w:rsidR="00343DB9" w:rsidRPr="00765010">
        <w:rPr>
          <w:rFonts w:ascii="Times New Roman" w:hAnsi="Times New Roman" w:cs="Times New Roman"/>
          <w:iCs/>
          <w:color w:val="000000" w:themeColor="text1"/>
          <w:kern w:val="24"/>
          <w:sz w:val="24"/>
          <w:szCs w:val="24"/>
        </w:rPr>
        <w:t>zadaniem statutowym jest udzielanie świadczeń medycznych w obszarach umocowanych umowami</w:t>
      </w:r>
      <w:r w:rsidR="0041057E" w:rsidRPr="00765010">
        <w:rPr>
          <w:rFonts w:ascii="Times New Roman" w:hAnsi="Times New Roman" w:cs="Times New Roman"/>
          <w:iCs/>
          <w:color w:val="000000" w:themeColor="text1"/>
          <w:kern w:val="24"/>
          <w:sz w:val="24"/>
          <w:szCs w:val="24"/>
        </w:rPr>
        <w:t xml:space="preserve"> </w:t>
      </w:r>
      <w:r w:rsidR="00343DB9" w:rsidRPr="00765010">
        <w:rPr>
          <w:rFonts w:ascii="Times New Roman" w:hAnsi="Times New Roman" w:cs="Times New Roman"/>
          <w:iCs/>
          <w:color w:val="000000" w:themeColor="text1"/>
          <w:kern w:val="24"/>
          <w:sz w:val="24"/>
          <w:szCs w:val="24"/>
        </w:rPr>
        <w:t xml:space="preserve">oraz dążenie do </w:t>
      </w:r>
      <w:r w:rsidR="0041057E" w:rsidRPr="00765010">
        <w:rPr>
          <w:rFonts w:ascii="Times New Roman" w:hAnsi="Times New Roman" w:cs="Times New Roman"/>
          <w:iCs/>
          <w:color w:val="000000" w:themeColor="text1"/>
          <w:kern w:val="24"/>
          <w:sz w:val="24"/>
          <w:szCs w:val="24"/>
        </w:rPr>
        <w:t>zwiększeni</w:t>
      </w:r>
      <w:r w:rsidR="00343DB9" w:rsidRPr="00765010">
        <w:rPr>
          <w:rFonts w:ascii="Times New Roman" w:hAnsi="Times New Roman" w:cs="Times New Roman"/>
          <w:iCs/>
          <w:color w:val="000000" w:themeColor="text1"/>
          <w:kern w:val="24"/>
          <w:sz w:val="24"/>
          <w:szCs w:val="24"/>
        </w:rPr>
        <w:t>a</w:t>
      </w:r>
      <w:r w:rsidR="0041057E" w:rsidRPr="00765010">
        <w:rPr>
          <w:rFonts w:ascii="Times New Roman" w:hAnsi="Times New Roman" w:cs="Times New Roman"/>
          <w:iCs/>
          <w:color w:val="000000" w:themeColor="text1"/>
          <w:kern w:val="24"/>
          <w:sz w:val="24"/>
          <w:szCs w:val="24"/>
        </w:rPr>
        <w:t xml:space="preserve"> </w:t>
      </w:r>
      <w:r w:rsidR="00BA65C8" w:rsidRPr="00765010">
        <w:rPr>
          <w:rFonts w:ascii="Times New Roman" w:hAnsi="Times New Roman" w:cs="Times New Roman"/>
          <w:iCs/>
          <w:color w:val="000000" w:themeColor="text1"/>
          <w:kern w:val="24"/>
          <w:sz w:val="24"/>
          <w:szCs w:val="24"/>
        </w:rPr>
        <w:t xml:space="preserve">zakresu </w:t>
      </w:r>
      <w:r w:rsidR="0041057E" w:rsidRPr="00765010">
        <w:rPr>
          <w:rFonts w:ascii="Times New Roman" w:hAnsi="Times New Roman" w:cs="Times New Roman"/>
          <w:iCs/>
          <w:color w:val="000000" w:themeColor="text1"/>
          <w:kern w:val="24"/>
          <w:sz w:val="24"/>
          <w:szCs w:val="24"/>
        </w:rPr>
        <w:t xml:space="preserve"> świadcz</w:t>
      </w:r>
      <w:r w:rsidR="00BA65C8" w:rsidRPr="00765010">
        <w:rPr>
          <w:rFonts w:ascii="Times New Roman" w:hAnsi="Times New Roman" w:cs="Times New Roman"/>
          <w:iCs/>
          <w:color w:val="000000" w:themeColor="text1"/>
          <w:kern w:val="24"/>
          <w:sz w:val="24"/>
          <w:szCs w:val="24"/>
        </w:rPr>
        <w:t>onych</w:t>
      </w:r>
      <w:r w:rsidR="00C57BD7">
        <w:rPr>
          <w:rFonts w:ascii="Times New Roman" w:hAnsi="Times New Roman" w:cs="Times New Roman"/>
          <w:iCs/>
          <w:color w:val="000000" w:themeColor="text1"/>
          <w:kern w:val="24"/>
          <w:sz w:val="24"/>
          <w:szCs w:val="24"/>
        </w:rPr>
        <w:t xml:space="preserve"> </w:t>
      </w:r>
      <w:r w:rsidR="00BA65C8" w:rsidRPr="00765010">
        <w:rPr>
          <w:rFonts w:ascii="Times New Roman" w:hAnsi="Times New Roman" w:cs="Times New Roman"/>
          <w:iCs/>
          <w:color w:val="000000" w:themeColor="text1"/>
          <w:kern w:val="24"/>
          <w:sz w:val="24"/>
          <w:szCs w:val="24"/>
        </w:rPr>
        <w:t xml:space="preserve"> na rzecz Pacjentów </w:t>
      </w:r>
      <w:r w:rsidR="00343DB9" w:rsidRPr="00765010">
        <w:rPr>
          <w:rFonts w:ascii="Times New Roman" w:hAnsi="Times New Roman" w:cs="Times New Roman"/>
          <w:iCs/>
          <w:color w:val="000000" w:themeColor="text1"/>
          <w:kern w:val="24"/>
          <w:sz w:val="24"/>
          <w:szCs w:val="24"/>
        </w:rPr>
        <w:t xml:space="preserve"> usług </w:t>
      </w:r>
      <w:r w:rsidR="0041057E" w:rsidRPr="00765010">
        <w:rPr>
          <w:rFonts w:ascii="Times New Roman" w:hAnsi="Times New Roman" w:cs="Times New Roman"/>
          <w:iCs/>
          <w:color w:val="000000" w:themeColor="text1"/>
          <w:kern w:val="24"/>
          <w:sz w:val="24"/>
          <w:szCs w:val="24"/>
        </w:rPr>
        <w:t>medycznych</w:t>
      </w:r>
      <w:r w:rsidR="00BA65C8" w:rsidRPr="00765010">
        <w:rPr>
          <w:rFonts w:ascii="Times New Roman" w:hAnsi="Times New Roman" w:cs="Times New Roman"/>
          <w:iCs/>
          <w:color w:val="000000" w:themeColor="text1"/>
          <w:kern w:val="24"/>
          <w:sz w:val="24"/>
          <w:szCs w:val="24"/>
        </w:rPr>
        <w:t xml:space="preserve">. </w:t>
      </w:r>
    </w:p>
    <w:p w14:paraId="56CD946D" w14:textId="77777777" w:rsidR="0041057E" w:rsidRPr="00765010" w:rsidRDefault="0041057E" w:rsidP="00A57A5B">
      <w:pPr>
        <w:pStyle w:val="Akapitzlist"/>
        <w:numPr>
          <w:ilvl w:val="0"/>
          <w:numId w:val="12"/>
        </w:numPr>
        <w:spacing w:line="276" w:lineRule="auto"/>
        <w:jc w:val="both"/>
        <w:rPr>
          <w:rFonts w:eastAsiaTheme="minorEastAsia"/>
          <w:iCs/>
          <w:color w:val="000000" w:themeColor="text1"/>
          <w:kern w:val="24"/>
        </w:rPr>
      </w:pPr>
      <w:r w:rsidRPr="00765010">
        <w:rPr>
          <w:rFonts w:eastAsiaTheme="minorEastAsia"/>
          <w:iCs/>
          <w:color w:val="000000" w:themeColor="text1"/>
          <w:kern w:val="24"/>
        </w:rPr>
        <w:lastRenderedPageBreak/>
        <w:t>Wskaźnik zyskownoś</w:t>
      </w:r>
      <w:r w:rsidR="008624CD" w:rsidRPr="00765010">
        <w:rPr>
          <w:rFonts w:eastAsiaTheme="minorEastAsia"/>
          <w:iCs/>
          <w:color w:val="000000" w:themeColor="text1"/>
          <w:kern w:val="24"/>
        </w:rPr>
        <w:t>ci netto (%),</w:t>
      </w:r>
      <w:r w:rsidRPr="00765010">
        <w:rPr>
          <w:rFonts w:eastAsiaTheme="minorEastAsia"/>
          <w:iCs/>
          <w:color w:val="000000" w:themeColor="text1"/>
          <w:kern w:val="24"/>
        </w:rPr>
        <w:t xml:space="preserve"> pokazuje jaką część przychodów stanowi odnotowany zysk lub strata</w:t>
      </w:r>
      <w:r w:rsidR="005B2EE9" w:rsidRPr="00765010">
        <w:rPr>
          <w:rFonts w:eastAsiaTheme="minorEastAsia"/>
          <w:iCs/>
          <w:color w:val="000000" w:themeColor="text1"/>
          <w:kern w:val="24"/>
        </w:rPr>
        <w:t>.</w:t>
      </w:r>
      <w:r w:rsidRPr="00765010">
        <w:rPr>
          <w:rFonts w:eastAsiaTheme="minorEastAsia"/>
          <w:iCs/>
          <w:color w:val="000000" w:themeColor="text1"/>
          <w:kern w:val="24"/>
        </w:rPr>
        <w:t xml:space="preserve"> W ten sposób jest określana efektywność gospodarki fina</w:t>
      </w:r>
      <w:r w:rsidR="005B2EE9" w:rsidRPr="00765010">
        <w:rPr>
          <w:rFonts w:eastAsiaTheme="minorEastAsia"/>
          <w:iCs/>
          <w:color w:val="000000" w:themeColor="text1"/>
          <w:kern w:val="24"/>
        </w:rPr>
        <w:t>nsowej w odniesieniu do relacji: (</w:t>
      </w:r>
      <w:r w:rsidRPr="00765010">
        <w:rPr>
          <w:rFonts w:eastAsiaTheme="minorEastAsia"/>
          <w:iCs/>
          <w:color w:val="000000" w:themeColor="text1"/>
          <w:kern w:val="24"/>
        </w:rPr>
        <w:t>przychod</w:t>
      </w:r>
      <w:r w:rsidR="005B2EE9" w:rsidRPr="00765010">
        <w:rPr>
          <w:rFonts w:eastAsiaTheme="minorEastAsia"/>
          <w:iCs/>
          <w:color w:val="000000" w:themeColor="text1"/>
          <w:kern w:val="24"/>
        </w:rPr>
        <w:t>y ogółem-koszty ogółem podmiotu).</w:t>
      </w:r>
    </w:p>
    <w:p w14:paraId="27C3F40A" w14:textId="162F7565" w:rsidR="008624CD" w:rsidRPr="00765010" w:rsidRDefault="00BD414B" w:rsidP="00A57A5B">
      <w:pPr>
        <w:spacing w:after="0"/>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Wskaźnik zyskowności netto  SPZOZ</w:t>
      </w:r>
      <w:r w:rsidR="00EF3D72" w:rsidRPr="00765010">
        <w:rPr>
          <w:rFonts w:ascii="Times New Roman" w:hAnsi="Times New Roman" w:cs="Times New Roman"/>
          <w:iCs/>
          <w:color w:val="000000" w:themeColor="text1"/>
          <w:kern w:val="24"/>
          <w:sz w:val="24"/>
          <w:szCs w:val="24"/>
        </w:rPr>
        <w:t xml:space="preserve"> za 20</w:t>
      </w:r>
      <w:r w:rsidR="00AB5BD1" w:rsidRPr="00765010">
        <w:rPr>
          <w:rFonts w:ascii="Times New Roman" w:hAnsi="Times New Roman" w:cs="Times New Roman"/>
          <w:iCs/>
          <w:color w:val="000000" w:themeColor="text1"/>
          <w:kern w:val="24"/>
          <w:sz w:val="24"/>
          <w:szCs w:val="24"/>
        </w:rPr>
        <w:t>2</w:t>
      </w:r>
      <w:r w:rsidR="00BA65C8" w:rsidRPr="00765010">
        <w:rPr>
          <w:rFonts w:ascii="Times New Roman" w:hAnsi="Times New Roman" w:cs="Times New Roman"/>
          <w:iCs/>
          <w:color w:val="000000" w:themeColor="text1"/>
          <w:kern w:val="24"/>
          <w:sz w:val="24"/>
          <w:szCs w:val="24"/>
        </w:rPr>
        <w:t>3</w:t>
      </w:r>
      <w:r w:rsidR="002547F5">
        <w:rPr>
          <w:rFonts w:ascii="Times New Roman" w:hAnsi="Times New Roman" w:cs="Times New Roman"/>
          <w:iCs/>
          <w:color w:val="000000" w:themeColor="text1"/>
          <w:kern w:val="24"/>
          <w:sz w:val="24"/>
          <w:szCs w:val="24"/>
        </w:rPr>
        <w:t xml:space="preserve"> </w:t>
      </w:r>
      <w:r w:rsidR="00EF3D72" w:rsidRPr="00765010">
        <w:rPr>
          <w:rFonts w:ascii="Times New Roman" w:hAnsi="Times New Roman" w:cs="Times New Roman"/>
          <w:iCs/>
          <w:color w:val="000000" w:themeColor="text1"/>
          <w:kern w:val="24"/>
          <w:sz w:val="24"/>
          <w:szCs w:val="24"/>
        </w:rPr>
        <w:t>r</w:t>
      </w:r>
      <w:r w:rsidR="00343DB9" w:rsidRPr="00765010">
        <w:rPr>
          <w:rFonts w:ascii="Times New Roman" w:hAnsi="Times New Roman" w:cs="Times New Roman"/>
          <w:iCs/>
          <w:color w:val="000000" w:themeColor="text1"/>
          <w:kern w:val="24"/>
          <w:sz w:val="24"/>
          <w:szCs w:val="24"/>
        </w:rPr>
        <w:t>ok</w:t>
      </w:r>
      <w:r w:rsidR="00EF3D72"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 xml:space="preserve"> wynosi-</w:t>
      </w:r>
      <w:r w:rsidR="00BA65C8" w:rsidRPr="00765010">
        <w:rPr>
          <w:rFonts w:ascii="Times New Roman" w:hAnsi="Times New Roman" w:cs="Times New Roman"/>
          <w:iCs/>
          <w:color w:val="000000" w:themeColor="text1"/>
          <w:kern w:val="24"/>
          <w:sz w:val="24"/>
          <w:szCs w:val="24"/>
        </w:rPr>
        <w:t>5,47%</w:t>
      </w:r>
      <w:r w:rsidR="008624CD" w:rsidRPr="00765010">
        <w:rPr>
          <w:rFonts w:ascii="Times New Roman" w:hAnsi="Times New Roman" w:cs="Times New Roman"/>
          <w:iCs/>
          <w:color w:val="000000" w:themeColor="text1"/>
          <w:kern w:val="24"/>
          <w:sz w:val="24"/>
          <w:szCs w:val="24"/>
        </w:rPr>
        <w:t xml:space="preserve"> i mieści się w przedziale </w:t>
      </w:r>
      <w:r w:rsidR="00795D62" w:rsidRPr="00765010">
        <w:rPr>
          <w:rFonts w:ascii="Times New Roman" w:hAnsi="Times New Roman" w:cs="Times New Roman"/>
          <w:iCs/>
          <w:color w:val="000000" w:themeColor="text1"/>
          <w:kern w:val="24"/>
          <w:sz w:val="24"/>
          <w:szCs w:val="24"/>
        </w:rPr>
        <w:t>4</w:t>
      </w:r>
      <w:r w:rsidR="008624CD" w:rsidRPr="00765010">
        <w:rPr>
          <w:rFonts w:ascii="Times New Roman" w:hAnsi="Times New Roman" w:cs="Times New Roman"/>
          <w:iCs/>
          <w:color w:val="000000" w:themeColor="text1"/>
          <w:kern w:val="24"/>
          <w:sz w:val="24"/>
          <w:szCs w:val="24"/>
        </w:rPr>
        <w:t xml:space="preserve"> -tabeli </w:t>
      </w:r>
      <w:r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Rozporządzenia Ministra Zdrowia z 12.04.2017</w:t>
      </w:r>
      <w:r w:rsidR="002547F5">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r</w:t>
      </w:r>
      <w:r w:rsidR="002547F5">
        <w:rPr>
          <w:rFonts w:ascii="Times New Roman" w:hAnsi="Times New Roman" w:cs="Times New Roman"/>
          <w:iCs/>
          <w:color w:val="000000" w:themeColor="text1"/>
          <w:kern w:val="24"/>
          <w:sz w:val="24"/>
          <w:szCs w:val="24"/>
        </w:rPr>
        <w:t>.</w:t>
      </w:r>
      <w:r w:rsidR="008624CD" w:rsidRPr="00765010">
        <w:rPr>
          <w:rFonts w:ascii="Times New Roman" w:hAnsi="Times New Roman" w:cs="Times New Roman"/>
          <w:iCs/>
          <w:color w:val="000000" w:themeColor="text1"/>
          <w:kern w:val="24"/>
          <w:sz w:val="24"/>
          <w:szCs w:val="24"/>
        </w:rPr>
        <w:t xml:space="preserve"> </w:t>
      </w:r>
      <w:r w:rsidR="005B2EE9" w:rsidRPr="00765010">
        <w:rPr>
          <w:rFonts w:ascii="Times New Roman" w:hAnsi="Times New Roman" w:cs="Times New Roman"/>
          <w:iCs/>
          <w:color w:val="000000" w:themeColor="text1"/>
          <w:kern w:val="24"/>
          <w:sz w:val="24"/>
          <w:szCs w:val="24"/>
        </w:rPr>
        <w:t>(</w:t>
      </w:r>
      <w:r w:rsidR="00795D62" w:rsidRPr="00765010">
        <w:rPr>
          <w:rFonts w:ascii="Times New Roman" w:hAnsi="Times New Roman" w:cs="Times New Roman"/>
          <w:iCs/>
          <w:color w:val="000000" w:themeColor="text1"/>
          <w:kern w:val="24"/>
          <w:sz w:val="24"/>
          <w:szCs w:val="24"/>
        </w:rPr>
        <w:t>w przedziale wartości powyżej</w:t>
      </w:r>
      <w:r w:rsidR="002547F5">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4%</w:t>
      </w:r>
      <w:r w:rsidR="005B2EE9" w:rsidRPr="00765010">
        <w:rPr>
          <w:rFonts w:ascii="Times New Roman" w:hAnsi="Times New Roman" w:cs="Times New Roman"/>
          <w:iCs/>
          <w:color w:val="000000" w:themeColor="text1"/>
          <w:kern w:val="24"/>
          <w:sz w:val="24"/>
          <w:szCs w:val="24"/>
        </w:rPr>
        <w:t>),</w:t>
      </w:r>
      <w:r w:rsidR="002547F5">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 xml:space="preserve">uzyskując ocenę </w:t>
      </w:r>
      <w:r w:rsidR="00795D62" w:rsidRPr="00765010">
        <w:rPr>
          <w:rFonts w:ascii="Times New Roman" w:hAnsi="Times New Roman" w:cs="Times New Roman"/>
          <w:iCs/>
          <w:color w:val="000000" w:themeColor="text1"/>
          <w:kern w:val="24"/>
          <w:sz w:val="24"/>
          <w:szCs w:val="24"/>
        </w:rPr>
        <w:t>5.</w:t>
      </w:r>
    </w:p>
    <w:p w14:paraId="2375E054" w14:textId="781CC604" w:rsidR="008624CD" w:rsidRPr="00765010" w:rsidRDefault="008624CD" w:rsidP="00A57A5B">
      <w:pPr>
        <w:pStyle w:val="Akapitzlist"/>
        <w:numPr>
          <w:ilvl w:val="0"/>
          <w:numId w:val="12"/>
        </w:numPr>
        <w:spacing w:line="276" w:lineRule="auto"/>
        <w:jc w:val="both"/>
        <w:rPr>
          <w:rFonts w:eastAsiaTheme="minorEastAsia"/>
          <w:iCs/>
          <w:color w:val="000000" w:themeColor="text1"/>
          <w:kern w:val="24"/>
        </w:rPr>
      </w:pPr>
      <w:r w:rsidRPr="00765010">
        <w:rPr>
          <w:rFonts w:eastAsiaTheme="minorEastAsia"/>
          <w:iCs/>
          <w:color w:val="000000" w:themeColor="text1"/>
          <w:kern w:val="24"/>
        </w:rPr>
        <w:t>Wskaźnik zyskowności działalności operacyjnej (%) określa ekonomiczną efektywność działania podmiotu, z uwzględnieniem działalności podstawowej oraz pozostałej działalności operacyjnej</w:t>
      </w:r>
      <w:r w:rsidR="00C57BD7">
        <w:rPr>
          <w:rFonts w:eastAsiaTheme="minorEastAsia"/>
          <w:iCs/>
          <w:color w:val="000000" w:themeColor="text1"/>
          <w:kern w:val="24"/>
        </w:rPr>
        <w:t>.</w:t>
      </w:r>
    </w:p>
    <w:p w14:paraId="6FD019B8" w14:textId="2178980D" w:rsidR="00975B60" w:rsidRPr="00765010" w:rsidRDefault="00FB7308" w:rsidP="00A57A5B">
      <w:pPr>
        <w:spacing w:after="0"/>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Wskaźnik zyskowności działalności operacyjnej Samodzielnego Publicznego Zakładu Opieki</w:t>
      </w:r>
      <w:r w:rsidRPr="00765010">
        <w:rPr>
          <w:rFonts w:ascii="Times New Roman" w:hAnsi="Times New Roman" w:cs="Times New Roman"/>
          <w:iCs/>
          <w:color w:val="000000" w:themeColor="text1"/>
          <w:kern w:val="24"/>
          <w:sz w:val="24"/>
          <w:szCs w:val="24"/>
        </w:rPr>
        <w:br/>
        <w:t xml:space="preserve">     </w:t>
      </w:r>
      <w:r w:rsidR="008624CD" w:rsidRPr="00765010">
        <w:rPr>
          <w:rFonts w:ascii="Times New Roman" w:hAnsi="Times New Roman" w:cs="Times New Roman"/>
          <w:iCs/>
          <w:color w:val="000000" w:themeColor="text1"/>
          <w:kern w:val="24"/>
          <w:sz w:val="24"/>
          <w:szCs w:val="24"/>
        </w:rPr>
        <w:t xml:space="preserve">Zdrowotnej w Sławkowie </w:t>
      </w:r>
      <w:r w:rsidR="00EF3D72" w:rsidRPr="00765010">
        <w:rPr>
          <w:rFonts w:ascii="Times New Roman" w:hAnsi="Times New Roman" w:cs="Times New Roman"/>
          <w:iCs/>
          <w:color w:val="000000" w:themeColor="text1"/>
          <w:kern w:val="24"/>
          <w:sz w:val="24"/>
          <w:szCs w:val="24"/>
        </w:rPr>
        <w:t>za 2</w:t>
      </w:r>
      <w:r w:rsidR="001776D5" w:rsidRPr="00765010">
        <w:rPr>
          <w:rFonts w:ascii="Times New Roman" w:hAnsi="Times New Roman" w:cs="Times New Roman"/>
          <w:iCs/>
          <w:color w:val="000000" w:themeColor="text1"/>
          <w:kern w:val="24"/>
          <w:sz w:val="24"/>
          <w:szCs w:val="24"/>
        </w:rPr>
        <w:t>02</w:t>
      </w:r>
      <w:r w:rsidR="00795D62" w:rsidRPr="00765010">
        <w:rPr>
          <w:rFonts w:ascii="Times New Roman" w:hAnsi="Times New Roman" w:cs="Times New Roman"/>
          <w:iCs/>
          <w:color w:val="000000" w:themeColor="text1"/>
          <w:kern w:val="24"/>
          <w:sz w:val="24"/>
          <w:szCs w:val="24"/>
        </w:rPr>
        <w:t>3</w:t>
      </w:r>
      <w:r w:rsidR="00343DB9" w:rsidRPr="00765010">
        <w:rPr>
          <w:rFonts w:ascii="Times New Roman" w:hAnsi="Times New Roman" w:cs="Times New Roman"/>
          <w:iCs/>
          <w:color w:val="000000" w:themeColor="text1"/>
          <w:kern w:val="24"/>
          <w:sz w:val="24"/>
          <w:szCs w:val="24"/>
        </w:rPr>
        <w:t xml:space="preserve"> </w:t>
      </w:r>
      <w:r w:rsidR="00EF3D72" w:rsidRPr="00765010">
        <w:rPr>
          <w:rFonts w:ascii="Times New Roman" w:hAnsi="Times New Roman" w:cs="Times New Roman"/>
          <w:iCs/>
          <w:color w:val="000000" w:themeColor="text1"/>
          <w:kern w:val="24"/>
          <w:sz w:val="24"/>
          <w:szCs w:val="24"/>
        </w:rPr>
        <w:t>r</w:t>
      </w:r>
      <w:r w:rsidR="00343DB9" w:rsidRPr="00765010">
        <w:rPr>
          <w:rFonts w:ascii="Times New Roman" w:hAnsi="Times New Roman" w:cs="Times New Roman"/>
          <w:iCs/>
          <w:color w:val="000000" w:themeColor="text1"/>
          <w:kern w:val="24"/>
          <w:sz w:val="24"/>
          <w:szCs w:val="24"/>
        </w:rPr>
        <w:t xml:space="preserve">ok </w:t>
      </w:r>
      <w:r w:rsidR="00EF3D72"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 xml:space="preserve">wynosi </w:t>
      </w:r>
      <w:r w:rsidR="00795D62" w:rsidRPr="00765010">
        <w:rPr>
          <w:rFonts w:ascii="Times New Roman" w:hAnsi="Times New Roman" w:cs="Times New Roman"/>
          <w:iCs/>
          <w:color w:val="000000" w:themeColor="text1"/>
          <w:kern w:val="24"/>
          <w:sz w:val="24"/>
          <w:szCs w:val="24"/>
        </w:rPr>
        <w:t>5,26</w:t>
      </w:r>
      <w:r w:rsidR="00343DB9" w:rsidRPr="00765010">
        <w:rPr>
          <w:rFonts w:ascii="Times New Roman" w:hAnsi="Times New Roman" w:cs="Times New Roman"/>
          <w:iCs/>
          <w:color w:val="000000" w:themeColor="text1"/>
          <w:kern w:val="24"/>
          <w:sz w:val="24"/>
          <w:szCs w:val="24"/>
        </w:rPr>
        <w:t>%</w:t>
      </w:r>
      <w:r w:rsidR="008624CD" w:rsidRPr="00765010">
        <w:rPr>
          <w:rFonts w:ascii="Times New Roman" w:hAnsi="Times New Roman" w:cs="Times New Roman"/>
          <w:iCs/>
          <w:color w:val="000000" w:themeColor="text1"/>
          <w:kern w:val="24"/>
          <w:sz w:val="24"/>
          <w:szCs w:val="24"/>
        </w:rPr>
        <w:t xml:space="preserve">, co oznacza, </w:t>
      </w:r>
      <w:r w:rsidR="001776D5" w:rsidRPr="00765010">
        <w:rPr>
          <w:rFonts w:ascii="Times New Roman" w:hAnsi="Times New Roman" w:cs="Times New Roman"/>
          <w:iCs/>
          <w:color w:val="000000" w:themeColor="text1"/>
          <w:kern w:val="24"/>
          <w:sz w:val="24"/>
          <w:szCs w:val="24"/>
        </w:rPr>
        <w:t>ż</w:t>
      </w:r>
      <w:r w:rsidR="008624CD" w:rsidRPr="00765010">
        <w:rPr>
          <w:rFonts w:ascii="Times New Roman" w:hAnsi="Times New Roman" w:cs="Times New Roman"/>
          <w:iCs/>
          <w:color w:val="000000" w:themeColor="text1"/>
          <w:kern w:val="24"/>
          <w:sz w:val="24"/>
          <w:szCs w:val="24"/>
        </w:rPr>
        <w:t xml:space="preserve">e mieści się </w:t>
      </w:r>
    </w:p>
    <w:p w14:paraId="644A9FED" w14:textId="69058A3A" w:rsidR="00343DB9" w:rsidRPr="00765010" w:rsidRDefault="00FB7308" w:rsidP="00A57A5B">
      <w:pPr>
        <w:spacing w:after="0"/>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8624CD" w:rsidRPr="00765010">
        <w:rPr>
          <w:rFonts w:ascii="Times New Roman" w:hAnsi="Times New Roman" w:cs="Times New Roman"/>
          <w:iCs/>
          <w:color w:val="000000" w:themeColor="text1"/>
          <w:kern w:val="24"/>
          <w:sz w:val="24"/>
          <w:szCs w:val="24"/>
        </w:rPr>
        <w:t xml:space="preserve">w przedziale </w:t>
      </w:r>
      <w:r w:rsidR="001776D5" w:rsidRPr="00765010">
        <w:rPr>
          <w:rFonts w:ascii="Times New Roman" w:hAnsi="Times New Roman" w:cs="Times New Roman"/>
          <w:iCs/>
          <w:color w:val="000000" w:themeColor="text1"/>
          <w:kern w:val="24"/>
          <w:sz w:val="24"/>
          <w:szCs w:val="24"/>
        </w:rPr>
        <w:t>wartości</w:t>
      </w:r>
      <w:r w:rsidR="00795D62" w:rsidRPr="00765010">
        <w:rPr>
          <w:rFonts w:ascii="Times New Roman" w:hAnsi="Times New Roman" w:cs="Times New Roman"/>
          <w:iCs/>
          <w:color w:val="000000" w:themeColor="text1"/>
          <w:kern w:val="24"/>
          <w:sz w:val="24"/>
          <w:szCs w:val="24"/>
        </w:rPr>
        <w:t xml:space="preserve"> 4 </w:t>
      </w:r>
      <w:r w:rsidR="001776D5" w:rsidRPr="00765010">
        <w:rPr>
          <w:rFonts w:ascii="Times New Roman" w:hAnsi="Times New Roman" w:cs="Times New Roman"/>
          <w:iCs/>
          <w:color w:val="000000" w:themeColor="text1"/>
          <w:kern w:val="24"/>
          <w:sz w:val="24"/>
          <w:szCs w:val="24"/>
        </w:rPr>
        <w:t xml:space="preserve"> </w:t>
      </w:r>
      <w:r w:rsidR="00A80145" w:rsidRPr="00765010">
        <w:rPr>
          <w:rFonts w:ascii="Times New Roman" w:hAnsi="Times New Roman" w:cs="Times New Roman"/>
          <w:iCs/>
          <w:color w:val="000000" w:themeColor="text1"/>
          <w:kern w:val="24"/>
          <w:sz w:val="24"/>
          <w:szCs w:val="24"/>
        </w:rPr>
        <w:t>(</w:t>
      </w:r>
      <w:r w:rsidR="00795D62" w:rsidRPr="00765010">
        <w:rPr>
          <w:rFonts w:ascii="Times New Roman" w:hAnsi="Times New Roman" w:cs="Times New Roman"/>
          <w:iCs/>
          <w:color w:val="000000" w:themeColor="text1"/>
          <w:kern w:val="24"/>
          <w:sz w:val="24"/>
          <w:szCs w:val="24"/>
        </w:rPr>
        <w:t>powyżej 4,0%</w:t>
      </w:r>
      <w:r w:rsidR="00A80145" w:rsidRPr="00765010">
        <w:rPr>
          <w:rFonts w:ascii="Times New Roman" w:hAnsi="Times New Roman" w:cs="Times New Roman"/>
          <w:iCs/>
          <w:color w:val="000000" w:themeColor="text1"/>
          <w:kern w:val="24"/>
          <w:sz w:val="24"/>
          <w:szCs w:val="24"/>
        </w:rPr>
        <w:t xml:space="preserve">) , uzyskując ocenę </w:t>
      </w:r>
      <w:r w:rsidR="00795D62" w:rsidRPr="00765010">
        <w:rPr>
          <w:rFonts w:ascii="Times New Roman" w:hAnsi="Times New Roman" w:cs="Times New Roman"/>
          <w:iCs/>
          <w:color w:val="000000" w:themeColor="text1"/>
          <w:kern w:val="24"/>
          <w:sz w:val="24"/>
          <w:szCs w:val="24"/>
        </w:rPr>
        <w:t>5</w:t>
      </w:r>
      <w:r w:rsidR="00A80145" w:rsidRPr="00765010">
        <w:rPr>
          <w:rFonts w:ascii="Times New Roman" w:hAnsi="Times New Roman" w:cs="Times New Roman"/>
          <w:iCs/>
          <w:color w:val="000000" w:themeColor="text1"/>
          <w:kern w:val="24"/>
          <w:sz w:val="24"/>
          <w:szCs w:val="24"/>
        </w:rPr>
        <w:t xml:space="preserve"> </w:t>
      </w:r>
    </w:p>
    <w:p w14:paraId="471B9D8C" w14:textId="7D08B34A" w:rsidR="00FB7308" w:rsidRPr="00765010" w:rsidRDefault="00EF3D72" w:rsidP="00A57A5B">
      <w:pPr>
        <w:pStyle w:val="Akapitzlist"/>
        <w:numPr>
          <w:ilvl w:val="0"/>
          <w:numId w:val="12"/>
        </w:numPr>
        <w:spacing w:line="276" w:lineRule="auto"/>
        <w:ind w:left="360"/>
        <w:jc w:val="both"/>
        <w:rPr>
          <w:iCs/>
          <w:color w:val="000000" w:themeColor="text1"/>
          <w:kern w:val="24"/>
        </w:rPr>
      </w:pPr>
      <w:r w:rsidRPr="00765010">
        <w:rPr>
          <w:rFonts w:eastAsiaTheme="minorEastAsia"/>
          <w:iCs/>
          <w:color w:val="000000" w:themeColor="text1"/>
          <w:kern w:val="24"/>
        </w:rPr>
        <w:t xml:space="preserve">Wskaźnik zyskowności aktywów (%) informuje o wielkości zysku lub straty przypadającej na jednostkę wartości zaangażowanych w podmiocie aktywów, czyli wyznacza on zdolność aktywów podmiotu do generowania zysku. Informuje </w:t>
      </w:r>
      <w:r w:rsidR="00715E7A" w:rsidRPr="00765010">
        <w:rPr>
          <w:rFonts w:eastAsiaTheme="minorEastAsia"/>
          <w:iCs/>
          <w:color w:val="000000" w:themeColor="text1"/>
          <w:kern w:val="24"/>
        </w:rPr>
        <w:t xml:space="preserve"> </w:t>
      </w:r>
      <w:r w:rsidRPr="00765010">
        <w:rPr>
          <w:rFonts w:eastAsiaTheme="minorEastAsia"/>
          <w:iCs/>
          <w:color w:val="000000" w:themeColor="text1"/>
          <w:kern w:val="24"/>
        </w:rPr>
        <w:t>o efektywności gospodarowania powierzonymi środkami. Im wyższa jest wartość wskaźnika, tym korzystniejsza sytuacja finansowa zakładu.</w:t>
      </w:r>
      <w:r w:rsidR="00FB7308" w:rsidRPr="00765010">
        <w:rPr>
          <w:rFonts w:eastAsiaTheme="minorEastAsia"/>
          <w:iCs/>
          <w:color w:val="000000" w:themeColor="text1"/>
          <w:kern w:val="24"/>
        </w:rPr>
        <w:t xml:space="preserve"> </w:t>
      </w:r>
      <w:r w:rsidRPr="00765010">
        <w:rPr>
          <w:iCs/>
          <w:color w:val="000000" w:themeColor="text1"/>
          <w:kern w:val="24"/>
        </w:rPr>
        <w:t xml:space="preserve">Wskaźnik zyskowności aktywów </w:t>
      </w:r>
      <w:r w:rsidR="002547F5">
        <w:rPr>
          <w:iCs/>
          <w:color w:val="000000" w:themeColor="text1"/>
          <w:kern w:val="24"/>
        </w:rPr>
        <w:t xml:space="preserve">                     </w:t>
      </w:r>
      <w:r w:rsidRPr="00765010">
        <w:rPr>
          <w:iCs/>
          <w:color w:val="000000" w:themeColor="text1"/>
          <w:kern w:val="24"/>
        </w:rPr>
        <w:t>w Samodzielnym Publicznym Zakładzie Opieki Zdrowotnej w Sławkowie za 20</w:t>
      </w:r>
      <w:r w:rsidR="001776D5" w:rsidRPr="00765010">
        <w:rPr>
          <w:iCs/>
          <w:color w:val="000000" w:themeColor="text1"/>
          <w:kern w:val="24"/>
        </w:rPr>
        <w:t>2</w:t>
      </w:r>
      <w:r w:rsidR="00795D62" w:rsidRPr="00765010">
        <w:rPr>
          <w:iCs/>
          <w:color w:val="000000" w:themeColor="text1"/>
          <w:kern w:val="24"/>
        </w:rPr>
        <w:t>3</w:t>
      </w:r>
      <w:r w:rsidR="00DD6327" w:rsidRPr="00765010">
        <w:rPr>
          <w:iCs/>
          <w:color w:val="000000" w:themeColor="text1"/>
          <w:kern w:val="24"/>
        </w:rPr>
        <w:t xml:space="preserve"> rok</w:t>
      </w:r>
      <w:r w:rsidRPr="00765010">
        <w:rPr>
          <w:iCs/>
          <w:color w:val="000000" w:themeColor="text1"/>
          <w:kern w:val="24"/>
        </w:rPr>
        <w:t xml:space="preserve"> wynosi </w:t>
      </w:r>
      <w:r w:rsidR="00795D62" w:rsidRPr="00765010">
        <w:rPr>
          <w:iCs/>
          <w:color w:val="000000" w:themeColor="text1"/>
          <w:kern w:val="24"/>
        </w:rPr>
        <w:t>7,58</w:t>
      </w:r>
      <w:r w:rsidR="00DD6327" w:rsidRPr="00765010">
        <w:rPr>
          <w:iCs/>
          <w:color w:val="000000" w:themeColor="text1"/>
          <w:kern w:val="24"/>
        </w:rPr>
        <w:t>%</w:t>
      </w:r>
      <w:r w:rsidRPr="00765010">
        <w:rPr>
          <w:iCs/>
          <w:color w:val="000000" w:themeColor="text1"/>
          <w:kern w:val="24"/>
        </w:rPr>
        <w:t xml:space="preserve"> co oznacza, ze mieści się w przedziale</w:t>
      </w:r>
      <w:r w:rsidR="00795D62" w:rsidRPr="00765010">
        <w:rPr>
          <w:iCs/>
          <w:color w:val="000000" w:themeColor="text1"/>
          <w:kern w:val="24"/>
        </w:rPr>
        <w:t xml:space="preserve"> 4 </w:t>
      </w:r>
      <w:r w:rsidR="00A80145" w:rsidRPr="00765010">
        <w:rPr>
          <w:iCs/>
          <w:color w:val="000000" w:themeColor="text1"/>
          <w:kern w:val="24"/>
        </w:rPr>
        <w:t xml:space="preserve">( powyżej 4,0%), uzyskując ocenę </w:t>
      </w:r>
      <w:r w:rsidRPr="00765010">
        <w:rPr>
          <w:iCs/>
          <w:color w:val="000000" w:themeColor="text1"/>
          <w:kern w:val="24"/>
        </w:rPr>
        <w:t xml:space="preserve"> </w:t>
      </w:r>
      <w:r w:rsidR="00795D62" w:rsidRPr="00765010">
        <w:rPr>
          <w:iCs/>
          <w:color w:val="000000" w:themeColor="text1"/>
          <w:kern w:val="24"/>
        </w:rPr>
        <w:t>5</w:t>
      </w:r>
    </w:p>
    <w:p w14:paraId="3A848C3F" w14:textId="74C541DE" w:rsidR="008624CD" w:rsidRPr="00765010" w:rsidRDefault="00B43060" w:rsidP="00A57A5B">
      <w:pPr>
        <w:pStyle w:val="Akapitzlist"/>
        <w:numPr>
          <w:ilvl w:val="0"/>
          <w:numId w:val="10"/>
        </w:numPr>
        <w:spacing w:line="276" w:lineRule="auto"/>
        <w:jc w:val="both"/>
        <w:rPr>
          <w:rFonts w:eastAsiaTheme="minorEastAsia"/>
          <w:b/>
          <w:iCs/>
          <w:color w:val="000000" w:themeColor="text1"/>
          <w:kern w:val="24"/>
          <w:u w:val="single"/>
        </w:rPr>
      </w:pPr>
      <w:r w:rsidRPr="00765010">
        <w:rPr>
          <w:rFonts w:eastAsiaTheme="minorEastAsia"/>
          <w:b/>
          <w:iCs/>
          <w:color w:val="000000" w:themeColor="text1"/>
          <w:kern w:val="24"/>
          <w:u w:val="single"/>
        </w:rPr>
        <w:t xml:space="preserve">Wskaźniki płynności </w:t>
      </w:r>
    </w:p>
    <w:p w14:paraId="4E7CE97E" w14:textId="77777777" w:rsidR="00975B60" w:rsidRPr="00765010" w:rsidRDefault="00975B60" w:rsidP="00A57A5B">
      <w:pPr>
        <w:pStyle w:val="Akapitzlist"/>
        <w:spacing w:line="276" w:lineRule="auto"/>
        <w:jc w:val="both"/>
        <w:rPr>
          <w:rFonts w:eastAsiaTheme="minorEastAsia"/>
          <w:b/>
          <w:iCs/>
          <w:color w:val="000000" w:themeColor="text1"/>
          <w:kern w:val="24"/>
          <w:u w:val="single"/>
        </w:rPr>
      </w:pPr>
    </w:p>
    <w:p w14:paraId="0A05162C" w14:textId="2A015C9A" w:rsidR="00B43060" w:rsidRPr="00765010" w:rsidRDefault="00100FDB" w:rsidP="009E33E0">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Drugą</w:t>
      </w:r>
      <w:r w:rsidR="00B43060" w:rsidRPr="00765010">
        <w:rPr>
          <w:rFonts w:ascii="Times New Roman" w:hAnsi="Times New Roman" w:cs="Times New Roman"/>
          <w:iCs/>
          <w:color w:val="000000" w:themeColor="text1"/>
          <w:kern w:val="24"/>
          <w:sz w:val="24"/>
          <w:szCs w:val="24"/>
        </w:rPr>
        <w:t xml:space="preserve"> grupą są wskaźniki płynności finansowej</w:t>
      </w:r>
      <w:r w:rsidRPr="00765010">
        <w:rPr>
          <w:rFonts w:ascii="Times New Roman" w:hAnsi="Times New Roman" w:cs="Times New Roman"/>
          <w:iCs/>
          <w:color w:val="000000" w:themeColor="text1"/>
          <w:kern w:val="24"/>
          <w:sz w:val="24"/>
          <w:szCs w:val="24"/>
        </w:rPr>
        <w:t>.</w:t>
      </w:r>
      <w:r w:rsidR="00B43060" w:rsidRPr="00765010">
        <w:rPr>
          <w:rFonts w:ascii="Times New Roman" w:hAnsi="Times New Roman" w:cs="Times New Roman"/>
          <w:iCs/>
          <w:color w:val="000000" w:themeColor="text1"/>
          <w:kern w:val="24"/>
          <w:sz w:val="24"/>
          <w:szCs w:val="24"/>
        </w:rPr>
        <w:t xml:space="preserve"> Służą one </w:t>
      </w:r>
      <w:r w:rsidR="00102A77" w:rsidRPr="00765010">
        <w:rPr>
          <w:rFonts w:ascii="Times New Roman" w:hAnsi="Times New Roman" w:cs="Times New Roman"/>
          <w:iCs/>
          <w:color w:val="000000" w:themeColor="text1"/>
          <w:kern w:val="24"/>
          <w:sz w:val="24"/>
          <w:szCs w:val="24"/>
        </w:rPr>
        <w:t xml:space="preserve">do oceny </w:t>
      </w:r>
      <w:r w:rsidR="00B43060" w:rsidRPr="00765010">
        <w:rPr>
          <w:rFonts w:ascii="Times New Roman" w:hAnsi="Times New Roman" w:cs="Times New Roman"/>
          <w:iCs/>
          <w:color w:val="000000" w:themeColor="text1"/>
          <w:kern w:val="24"/>
          <w:sz w:val="24"/>
          <w:szCs w:val="24"/>
        </w:rPr>
        <w:t xml:space="preserve">  analiz</w:t>
      </w:r>
      <w:r w:rsidR="00102A77" w:rsidRPr="00765010">
        <w:rPr>
          <w:rFonts w:ascii="Times New Roman" w:hAnsi="Times New Roman" w:cs="Times New Roman"/>
          <w:iCs/>
          <w:color w:val="000000" w:themeColor="text1"/>
          <w:kern w:val="24"/>
          <w:sz w:val="24"/>
          <w:szCs w:val="24"/>
        </w:rPr>
        <w:t>y</w:t>
      </w:r>
      <w:r w:rsidR="00B43060" w:rsidRPr="00765010">
        <w:rPr>
          <w:rFonts w:ascii="Times New Roman" w:hAnsi="Times New Roman" w:cs="Times New Roman"/>
          <w:iCs/>
          <w:color w:val="000000" w:themeColor="text1"/>
          <w:kern w:val="24"/>
          <w:sz w:val="24"/>
          <w:szCs w:val="24"/>
        </w:rPr>
        <w:t xml:space="preserve"> zdolności podmiotu do terminowego regulowania zaciągniętych zobowiązań krótkoterminowych. Płynność finansowa jest poddawana tutaj ocenie na podstawie relacji aktywów obrotowych do zobowiązań krótkoterminowych</w:t>
      </w:r>
      <w:r w:rsidR="00B60314" w:rsidRPr="00765010">
        <w:rPr>
          <w:rFonts w:ascii="Times New Roman" w:hAnsi="Times New Roman" w:cs="Times New Roman"/>
          <w:iCs/>
          <w:color w:val="000000" w:themeColor="text1"/>
          <w:kern w:val="24"/>
          <w:sz w:val="24"/>
          <w:szCs w:val="24"/>
        </w:rPr>
        <w:t>. Zakres aktywów obrotowych może być różny w zależności od stopnia płynności finansowej wyrażonego przez terminy wymagalności zobowiązań.</w:t>
      </w:r>
    </w:p>
    <w:p w14:paraId="00303BD4" w14:textId="77777777" w:rsidR="00B60314" w:rsidRPr="00765010" w:rsidRDefault="00B60314" w:rsidP="00A57A5B">
      <w:pPr>
        <w:pStyle w:val="Akapitzlist"/>
        <w:numPr>
          <w:ilvl w:val="0"/>
          <w:numId w:val="13"/>
        </w:numPr>
        <w:spacing w:line="276" w:lineRule="auto"/>
        <w:jc w:val="both"/>
        <w:rPr>
          <w:rFonts w:eastAsiaTheme="minorEastAsia"/>
          <w:iCs/>
          <w:color w:val="000000" w:themeColor="text1"/>
          <w:kern w:val="24"/>
        </w:rPr>
      </w:pPr>
      <w:r w:rsidRPr="00765010">
        <w:rPr>
          <w:rFonts w:eastAsiaTheme="minorEastAsia"/>
          <w:iCs/>
          <w:color w:val="000000" w:themeColor="text1"/>
          <w:kern w:val="24"/>
        </w:rPr>
        <w:t>Wskaźnik bieżącej płynności określa zdolność podmiotu do spłaty zobowiązań krótkoterminowych poprzez upłynnienie wszystkich środków obrotowych</w:t>
      </w:r>
    </w:p>
    <w:p w14:paraId="5573DD13" w14:textId="2B87BE90" w:rsidR="00A93BEA" w:rsidRPr="00765010" w:rsidRDefault="00B60314" w:rsidP="00A57A5B">
      <w:pPr>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Wskaźnik bieżącej płynności</w:t>
      </w:r>
      <w:r w:rsidR="00715E7A" w:rsidRPr="00765010">
        <w:rPr>
          <w:rFonts w:ascii="Times New Roman" w:hAnsi="Times New Roman" w:cs="Times New Roman"/>
          <w:iCs/>
          <w:color w:val="000000" w:themeColor="text1"/>
          <w:kern w:val="24"/>
          <w:sz w:val="24"/>
          <w:szCs w:val="24"/>
        </w:rPr>
        <w:t xml:space="preserve"> SPZOZ </w:t>
      </w:r>
      <w:r w:rsidRPr="00765010">
        <w:rPr>
          <w:rFonts w:ascii="Times New Roman" w:hAnsi="Times New Roman" w:cs="Times New Roman"/>
          <w:iCs/>
          <w:color w:val="000000" w:themeColor="text1"/>
          <w:kern w:val="24"/>
          <w:sz w:val="24"/>
          <w:szCs w:val="24"/>
        </w:rPr>
        <w:t xml:space="preserve"> w Sławkowie za 20</w:t>
      </w:r>
      <w:r w:rsidR="00181EAC" w:rsidRPr="00765010">
        <w:rPr>
          <w:rFonts w:ascii="Times New Roman" w:hAnsi="Times New Roman" w:cs="Times New Roman"/>
          <w:iCs/>
          <w:color w:val="000000" w:themeColor="text1"/>
          <w:kern w:val="24"/>
          <w:sz w:val="24"/>
          <w:szCs w:val="24"/>
        </w:rPr>
        <w:t>2</w:t>
      </w:r>
      <w:r w:rsidR="00102A77" w:rsidRPr="00765010">
        <w:rPr>
          <w:rFonts w:ascii="Times New Roman" w:hAnsi="Times New Roman" w:cs="Times New Roman"/>
          <w:iCs/>
          <w:color w:val="000000" w:themeColor="text1"/>
          <w:kern w:val="24"/>
          <w:sz w:val="24"/>
          <w:szCs w:val="24"/>
        </w:rPr>
        <w:t>3</w:t>
      </w:r>
      <w:r w:rsidR="00836634" w:rsidRPr="00765010">
        <w:rPr>
          <w:rFonts w:ascii="Times New Roman" w:hAnsi="Times New Roman" w:cs="Times New Roman"/>
          <w:iCs/>
          <w:color w:val="000000" w:themeColor="text1"/>
          <w:kern w:val="24"/>
          <w:sz w:val="24"/>
          <w:szCs w:val="24"/>
        </w:rPr>
        <w:t xml:space="preserve"> rok </w:t>
      </w:r>
      <w:r w:rsidRPr="00765010">
        <w:rPr>
          <w:rFonts w:ascii="Times New Roman" w:hAnsi="Times New Roman" w:cs="Times New Roman"/>
          <w:iCs/>
          <w:color w:val="000000" w:themeColor="text1"/>
          <w:kern w:val="24"/>
          <w:sz w:val="24"/>
          <w:szCs w:val="24"/>
        </w:rPr>
        <w:t xml:space="preserve"> wynosi</w:t>
      </w:r>
      <w:r w:rsidR="00715E7A" w:rsidRPr="00765010">
        <w:rPr>
          <w:rFonts w:ascii="Times New Roman" w:hAnsi="Times New Roman" w:cs="Times New Roman"/>
          <w:iCs/>
          <w:color w:val="000000" w:themeColor="text1"/>
          <w:kern w:val="24"/>
          <w:sz w:val="24"/>
          <w:szCs w:val="24"/>
        </w:rPr>
        <w:t>:</w:t>
      </w:r>
      <w:r w:rsidRPr="00765010">
        <w:rPr>
          <w:rFonts w:ascii="Times New Roman" w:hAnsi="Times New Roman" w:cs="Times New Roman"/>
          <w:iCs/>
          <w:color w:val="000000" w:themeColor="text1"/>
          <w:kern w:val="24"/>
          <w:sz w:val="24"/>
          <w:szCs w:val="24"/>
        </w:rPr>
        <w:t xml:space="preserve">  </w:t>
      </w:r>
      <w:r w:rsidR="00961721" w:rsidRPr="00765010">
        <w:rPr>
          <w:rFonts w:ascii="Times New Roman" w:hAnsi="Times New Roman" w:cs="Times New Roman"/>
          <w:iCs/>
          <w:color w:val="000000" w:themeColor="text1"/>
          <w:kern w:val="24"/>
          <w:sz w:val="24"/>
          <w:szCs w:val="24"/>
        </w:rPr>
        <w:t>8,</w:t>
      </w:r>
      <w:r w:rsidR="00102A77" w:rsidRPr="00765010">
        <w:rPr>
          <w:rFonts w:ascii="Times New Roman" w:hAnsi="Times New Roman" w:cs="Times New Roman"/>
          <w:iCs/>
          <w:color w:val="000000" w:themeColor="text1"/>
          <w:kern w:val="24"/>
          <w:sz w:val="24"/>
          <w:szCs w:val="24"/>
        </w:rPr>
        <w:t>53</w:t>
      </w:r>
      <w:r w:rsidRPr="00765010">
        <w:rPr>
          <w:rFonts w:ascii="Times New Roman" w:hAnsi="Times New Roman" w:cs="Times New Roman"/>
          <w:iCs/>
          <w:color w:val="000000" w:themeColor="text1"/>
          <w:kern w:val="24"/>
          <w:sz w:val="24"/>
          <w:szCs w:val="24"/>
        </w:rPr>
        <w:t xml:space="preserve"> </w:t>
      </w:r>
      <w:r w:rsidR="00961721" w:rsidRPr="00765010">
        <w:rPr>
          <w:rFonts w:ascii="Times New Roman" w:hAnsi="Times New Roman" w:cs="Times New Roman"/>
          <w:iCs/>
          <w:color w:val="000000" w:themeColor="text1"/>
          <w:kern w:val="24"/>
          <w:sz w:val="24"/>
          <w:szCs w:val="24"/>
        </w:rPr>
        <w:t>,</w:t>
      </w:r>
      <w:r w:rsidR="00181EAC"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uzyskuj</w:t>
      </w:r>
      <w:r w:rsidR="00961721" w:rsidRPr="00765010">
        <w:rPr>
          <w:rFonts w:ascii="Times New Roman" w:hAnsi="Times New Roman" w:cs="Times New Roman"/>
          <w:iCs/>
          <w:color w:val="000000" w:themeColor="text1"/>
          <w:kern w:val="24"/>
          <w:sz w:val="24"/>
          <w:szCs w:val="24"/>
        </w:rPr>
        <w:t>ąc</w:t>
      </w:r>
      <w:r w:rsidR="00181EAC" w:rsidRPr="00765010">
        <w:rPr>
          <w:rFonts w:ascii="Times New Roman" w:hAnsi="Times New Roman" w:cs="Times New Roman"/>
          <w:iCs/>
          <w:color w:val="000000" w:themeColor="text1"/>
          <w:kern w:val="24"/>
          <w:sz w:val="24"/>
          <w:szCs w:val="24"/>
        </w:rPr>
        <w:t xml:space="preserve"> ocenę 10</w:t>
      </w:r>
    </w:p>
    <w:p w14:paraId="58F5106C" w14:textId="5F41835F" w:rsidR="00147B1D" w:rsidRPr="00765010" w:rsidRDefault="00147B1D" w:rsidP="00A57A5B">
      <w:pPr>
        <w:ind w:left="284" w:hanging="142"/>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2). Wskaźnik szybkiej płynności określa zdolność podmiotu do spłacania zobowiązań krótkoterminowych </w:t>
      </w:r>
      <w:r w:rsidR="00533864" w:rsidRPr="00765010">
        <w:rPr>
          <w:rFonts w:ascii="Times New Roman" w:hAnsi="Times New Roman" w:cs="Times New Roman"/>
          <w:iCs/>
          <w:color w:val="000000" w:themeColor="text1"/>
          <w:kern w:val="24"/>
          <w:sz w:val="24"/>
          <w:szCs w:val="24"/>
        </w:rPr>
        <w:br/>
      </w:r>
      <w:r w:rsidRPr="00765010">
        <w:rPr>
          <w:rFonts w:ascii="Times New Roman" w:hAnsi="Times New Roman" w:cs="Times New Roman"/>
          <w:iCs/>
          <w:color w:val="000000" w:themeColor="text1"/>
          <w:kern w:val="24"/>
          <w:sz w:val="24"/>
          <w:szCs w:val="24"/>
        </w:rPr>
        <w:t xml:space="preserve">najbardziej płynnymi aktywami , tj. krótkoterminowymi należnościami </w:t>
      </w:r>
      <w:r w:rsidR="00715E7A"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i aktywami finansowymi.</w:t>
      </w:r>
    </w:p>
    <w:p w14:paraId="4C83E463" w14:textId="2D677BF8" w:rsidR="00DD1191" w:rsidRPr="00765010" w:rsidRDefault="00147B1D" w:rsidP="00A57A5B">
      <w:pPr>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Wskaźnik szybkiej płynności</w:t>
      </w:r>
      <w:r w:rsidR="00715E7A"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za 2</w:t>
      </w:r>
      <w:r w:rsidR="00CE502B" w:rsidRPr="00765010">
        <w:rPr>
          <w:rFonts w:ascii="Times New Roman" w:hAnsi="Times New Roman" w:cs="Times New Roman"/>
          <w:iCs/>
          <w:color w:val="000000" w:themeColor="text1"/>
          <w:kern w:val="24"/>
          <w:sz w:val="24"/>
          <w:szCs w:val="24"/>
        </w:rPr>
        <w:t>02</w:t>
      </w:r>
      <w:r w:rsidR="00102A77" w:rsidRPr="00765010">
        <w:rPr>
          <w:rFonts w:ascii="Times New Roman" w:hAnsi="Times New Roman" w:cs="Times New Roman"/>
          <w:iCs/>
          <w:color w:val="000000" w:themeColor="text1"/>
          <w:kern w:val="24"/>
          <w:sz w:val="24"/>
          <w:szCs w:val="24"/>
        </w:rPr>
        <w:t>3</w:t>
      </w:r>
      <w:r w:rsidR="00B6004A"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r</w:t>
      </w:r>
      <w:r w:rsidR="00B6004A" w:rsidRPr="00765010">
        <w:rPr>
          <w:rFonts w:ascii="Times New Roman" w:hAnsi="Times New Roman" w:cs="Times New Roman"/>
          <w:iCs/>
          <w:color w:val="000000" w:themeColor="text1"/>
          <w:kern w:val="24"/>
          <w:sz w:val="24"/>
          <w:szCs w:val="24"/>
        </w:rPr>
        <w:t>ok</w:t>
      </w:r>
      <w:r w:rsidRPr="00765010">
        <w:rPr>
          <w:rFonts w:ascii="Times New Roman" w:hAnsi="Times New Roman" w:cs="Times New Roman"/>
          <w:iCs/>
          <w:color w:val="000000" w:themeColor="text1"/>
          <w:kern w:val="24"/>
          <w:sz w:val="24"/>
          <w:szCs w:val="24"/>
        </w:rPr>
        <w:t xml:space="preserve"> w Samodzielnym Publicznym Zakładzie Opieki Zdrowotnej wynosi </w:t>
      </w:r>
      <w:r w:rsidR="00961721" w:rsidRPr="00765010">
        <w:rPr>
          <w:rFonts w:ascii="Times New Roman" w:hAnsi="Times New Roman" w:cs="Times New Roman"/>
          <w:iCs/>
          <w:color w:val="000000" w:themeColor="text1"/>
          <w:kern w:val="24"/>
          <w:sz w:val="24"/>
          <w:szCs w:val="24"/>
        </w:rPr>
        <w:t>8,</w:t>
      </w:r>
      <w:r w:rsidR="00102A77" w:rsidRPr="00765010">
        <w:rPr>
          <w:rFonts w:ascii="Times New Roman" w:hAnsi="Times New Roman" w:cs="Times New Roman"/>
          <w:iCs/>
          <w:color w:val="000000" w:themeColor="text1"/>
          <w:kern w:val="24"/>
          <w:sz w:val="24"/>
          <w:szCs w:val="24"/>
        </w:rPr>
        <w:t>53</w:t>
      </w:r>
      <w:r w:rsidRPr="00765010">
        <w:rPr>
          <w:rFonts w:ascii="Times New Roman" w:hAnsi="Times New Roman" w:cs="Times New Roman"/>
          <w:iCs/>
          <w:color w:val="000000" w:themeColor="text1"/>
          <w:kern w:val="24"/>
          <w:sz w:val="24"/>
          <w:szCs w:val="24"/>
        </w:rPr>
        <w:t xml:space="preserve"> </w:t>
      </w:r>
      <w:r w:rsidR="00CE502B" w:rsidRPr="00765010">
        <w:rPr>
          <w:rFonts w:ascii="Times New Roman" w:hAnsi="Times New Roman" w:cs="Times New Roman"/>
          <w:iCs/>
          <w:color w:val="000000" w:themeColor="text1"/>
          <w:kern w:val="24"/>
          <w:sz w:val="24"/>
          <w:szCs w:val="24"/>
        </w:rPr>
        <w:t xml:space="preserve"> i </w:t>
      </w:r>
      <w:r w:rsidR="00DD1191" w:rsidRPr="00765010">
        <w:rPr>
          <w:rFonts w:ascii="Times New Roman" w:hAnsi="Times New Roman" w:cs="Times New Roman"/>
          <w:iCs/>
          <w:color w:val="000000" w:themeColor="text1"/>
          <w:kern w:val="24"/>
          <w:sz w:val="24"/>
          <w:szCs w:val="24"/>
        </w:rPr>
        <w:t>uzyskuj</w:t>
      </w:r>
      <w:r w:rsidR="00CE502B" w:rsidRPr="00765010">
        <w:rPr>
          <w:rFonts w:ascii="Times New Roman" w:hAnsi="Times New Roman" w:cs="Times New Roman"/>
          <w:iCs/>
          <w:color w:val="000000" w:themeColor="text1"/>
          <w:kern w:val="24"/>
          <w:sz w:val="24"/>
          <w:szCs w:val="24"/>
        </w:rPr>
        <w:t xml:space="preserve">e </w:t>
      </w:r>
      <w:r w:rsidR="00DD1191" w:rsidRPr="00765010">
        <w:rPr>
          <w:rFonts w:ascii="Times New Roman" w:hAnsi="Times New Roman" w:cs="Times New Roman"/>
          <w:iCs/>
          <w:color w:val="000000" w:themeColor="text1"/>
          <w:kern w:val="24"/>
          <w:sz w:val="24"/>
          <w:szCs w:val="24"/>
        </w:rPr>
        <w:t xml:space="preserve"> ocenę 10</w:t>
      </w:r>
    </w:p>
    <w:p w14:paraId="7ADD8C0B" w14:textId="77777777" w:rsidR="00427569" w:rsidRPr="00765010" w:rsidRDefault="00427569" w:rsidP="00A57A5B">
      <w:pPr>
        <w:pStyle w:val="Akapitzlist"/>
        <w:numPr>
          <w:ilvl w:val="0"/>
          <w:numId w:val="10"/>
        </w:numPr>
        <w:spacing w:line="276" w:lineRule="auto"/>
        <w:jc w:val="both"/>
        <w:rPr>
          <w:rFonts w:eastAsiaTheme="minorEastAsia"/>
          <w:b/>
          <w:iCs/>
          <w:color w:val="000000" w:themeColor="text1"/>
          <w:kern w:val="24"/>
          <w:u w:val="single"/>
        </w:rPr>
      </w:pPr>
      <w:r w:rsidRPr="00765010">
        <w:rPr>
          <w:rFonts w:eastAsiaTheme="minorEastAsia"/>
          <w:b/>
          <w:iCs/>
          <w:color w:val="000000" w:themeColor="text1"/>
          <w:kern w:val="24"/>
          <w:u w:val="single"/>
        </w:rPr>
        <w:t>Wskaźniki efektywności</w:t>
      </w:r>
    </w:p>
    <w:p w14:paraId="20527949" w14:textId="77777777" w:rsidR="00427569" w:rsidRPr="00765010" w:rsidRDefault="00427569" w:rsidP="00A57A5B">
      <w:pPr>
        <w:pStyle w:val="Akapitzlist"/>
        <w:spacing w:line="276" w:lineRule="auto"/>
        <w:jc w:val="both"/>
        <w:rPr>
          <w:rFonts w:eastAsiaTheme="minorEastAsia"/>
          <w:iCs/>
          <w:color w:val="000000" w:themeColor="text1"/>
          <w:kern w:val="24"/>
        </w:rPr>
      </w:pPr>
    </w:p>
    <w:p w14:paraId="17039F97" w14:textId="77777777" w:rsidR="00427569" w:rsidRPr="00765010" w:rsidRDefault="00427569" w:rsidP="00A57A5B">
      <w:pPr>
        <w:spacing w:after="0"/>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1). Wskaźnik rotacji należności określa długość cyklu oczekiwania podmiotu na uzyskanie należności za świadczone usługi. Im wyższy poziom wskaźnika tym podmiot ma większe trudności ze ściągalnością swoich należności, co może obniżyć zdolność do terminowego regulowania zobowiązania.</w:t>
      </w:r>
    </w:p>
    <w:p w14:paraId="010E34EF" w14:textId="75325161" w:rsidR="00427569" w:rsidRPr="00765010" w:rsidRDefault="00427569" w:rsidP="00A57A5B">
      <w:pPr>
        <w:spacing w:after="0"/>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Wskaźnik rotacji należności w Samodzielnym Publicznym Zakładzie Opieki Zdrowotnej w Sławkowie za 20</w:t>
      </w:r>
      <w:r w:rsidR="0089345E" w:rsidRPr="00765010">
        <w:rPr>
          <w:rFonts w:ascii="Times New Roman" w:hAnsi="Times New Roman" w:cs="Times New Roman"/>
          <w:iCs/>
          <w:color w:val="000000" w:themeColor="text1"/>
          <w:kern w:val="24"/>
          <w:sz w:val="24"/>
          <w:szCs w:val="24"/>
        </w:rPr>
        <w:t>2</w:t>
      </w:r>
      <w:r w:rsidR="00315442" w:rsidRPr="00765010">
        <w:rPr>
          <w:rFonts w:ascii="Times New Roman" w:hAnsi="Times New Roman" w:cs="Times New Roman"/>
          <w:iCs/>
          <w:color w:val="000000" w:themeColor="text1"/>
          <w:kern w:val="24"/>
          <w:sz w:val="24"/>
          <w:szCs w:val="24"/>
        </w:rPr>
        <w:t>3</w:t>
      </w:r>
      <w:r w:rsidR="00012350"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r</w:t>
      </w:r>
      <w:r w:rsidR="00012350" w:rsidRPr="00765010">
        <w:rPr>
          <w:rFonts w:ascii="Times New Roman" w:hAnsi="Times New Roman" w:cs="Times New Roman"/>
          <w:iCs/>
          <w:color w:val="000000" w:themeColor="text1"/>
          <w:kern w:val="24"/>
          <w:sz w:val="24"/>
          <w:szCs w:val="24"/>
        </w:rPr>
        <w:t>ok</w:t>
      </w:r>
      <w:r w:rsidRPr="00765010">
        <w:rPr>
          <w:rFonts w:ascii="Times New Roman" w:hAnsi="Times New Roman" w:cs="Times New Roman"/>
          <w:iCs/>
          <w:color w:val="000000" w:themeColor="text1"/>
          <w:kern w:val="24"/>
          <w:sz w:val="24"/>
          <w:szCs w:val="24"/>
        </w:rPr>
        <w:t xml:space="preserve"> wyniósł </w:t>
      </w:r>
      <w:r w:rsidR="00315442" w:rsidRPr="00765010">
        <w:rPr>
          <w:rFonts w:ascii="Times New Roman" w:hAnsi="Times New Roman" w:cs="Times New Roman"/>
          <w:iCs/>
          <w:color w:val="000000" w:themeColor="text1"/>
          <w:kern w:val="24"/>
          <w:sz w:val="24"/>
          <w:szCs w:val="24"/>
        </w:rPr>
        <w:t>37</w:t>
      </w:r>
      <w:r w:rsidRPr="00765010">
        <w:rPr>
          <w:rFonts w:ascii="Times New Roman" w:hAnsi="Times New Roman" w:cs="Times New Roman"/>
          <w:iCs/>
          <w:color w:val="000000" w:themeColor="text1"/>
          <w:kern w:val="24"/>
          <w:sz w:val="24"/>
          <w:szCs w:val="24"/>
        </w:rPr>
        <w:t xml:space="preserve"> </w:t>
      </w:r>
      <w:r w:rsidR="00756DE0" w:rsidRPr="00765010">
        <w:rPr>
          <w:rFonts w:ascii="Times New Roman" w:hAnsi="Times New Roman" w:cs="Times New Roman"/>
          <w:iCs/>
          <w:color w:val="000000" w:themeColor="text1"/>
          <w:kern w:val="24"/>
          <w:sz w:val="24"/>
          <w:szCs w:val="24"/>
        </w:rPr>
        <w:t xml:space="preserve">uzyskał ocenę </w:t>
      </w:r>
      <w:r w:rsidR="00315442" w:rsidRPr="00765010">
        <w:rPr>
          <w:rFonts w:ascii="Times New Roman" w:hAnsi="Times New Roman" w:cs="Times New Roman"/>
          <w:iCs/>
          <w:color w:val="000000" w:themeColor="text1"/>
          <w:kern w:val="24"/>
          <w:sz w:val="24"/>
          <w:szCs w:val="24"/>
        </w:rPr>
        <w:t>3</w:t>
      </w:r>
      <w:r w:rsidR="00756DE0" w:rsidRPr="00765010">
        <w:rPr>
          <w:rFonts w:ascii="Times New Roman" w:hAnsi="Times New Roman" w:cs="Times New Roman"/>
          <w:iCs/>
          <w:color w:val="000000" w:themeColor="text1"/>
          <w:kern w:val="24"/>
          <w:sz w:val="24"/>
          <w:szCs w:val="24"/>
        </w:rPr>
        <w:t xml:space="preserve"> co oznacza że okres rotacji należności znajduje się w</w:t>
      </w:r>
      <w:r w:rsidR="00C57BD7">
        <w:rPr>
          <w:rFonts w:ascii="Times New Roman" w:hAnsi="Times New Roman" w:cs="Times New Roman"/>
          <w:iCs/>
          <w:color w:val="000000" w:themeColor="text1"/>
          <w:kern w:val="24"/>
          <w:sz w:val="24"/>
          <w:szCs w:val="24"/>
        </w:rPr>
        <w:t xml:space="preserve"> najmniejszym </w:t>
      </w:r>
      <w:r w:rsidR="00756DE0" w:rsidRPr="00765010">
        <w:rPr>
          <w:rFonts w:ascii="Times New Roman" w:hAnsi="Times New Roman" w:cs="Times New Roman"/>
          <w:iCs/>
          <w:color w:val="000000" w:themeColor="text1"/>
          <w:kern w:val="24"/>
          <w:sz w:val="24"/>
          <w:szCs w:val="24"/>
        </w:rPr>
        <w:t xml:space="preserve"> przedziale</w:t>
      </w:r>
      <w:r w:rsidR="00C57BD7">
        <w:rPr>
          <w:rFonts w:ascii="Times New Roman" w:hAnsi="Times New Roman" w:cs="Times New Roman"/>
          <w:iCs/>
          <w:color w:val="000000" w:themeColor="text1"/>
          <w:kern w:val="24"/>
          <w:sz w:val="24"/>
          <w:szCs w:val="24"/>
        </w:rPr>
        <w:t xml:space="preserve"> tabeli tj.</w:t>
      </w:r>
      <w:r w:rsidR="00756DE0" w:rsidRPr="00765010">
        <w:rPr>
          <w:rFonts w:ascii="Times New Roman" w:hAnsi="Times New Roman" w:cs="Times New Roman"/>
          <w:iCs/>
          <w:color w:val="000000" w:themeColor="text1"/>
          <w:kern w:val="24"/>
          <w:sz w:val="24"/>
          <w:szCs w:val="24"/>
        </w:rPr>
        <w:t xml:space="preserve"> </w:t>
      </w:r>
      <w:r w:rsidR="00315442" w:rsidRPr="00765010">
        <w:rPr>
          <w:rFonts w:ascii="Times New Roman" w:hAnsi="Times New Roman" w:cs="Times New Roman"/>
          <w:iCs/>
          <w:color w:val="000000" w:themeColor="text1"/>
          <w:kern w:val="24"/>
          <w:sz w:val="24"/>
          <w:szCs w:val="24"/>
        </w:rPr>
        <w:t>poniżej 45 dni.</w:t>
      </w:r>
      <w:r w:rsidR="00183DF5" w:rsidRPr="00765010">
        <w:rPr>
          <w:rFonts w:ascii="Times New Roman" w:hAnsi="Times New Roman" w:cs="Times New Roman"/>
          <w:iCs/>
          <w:color w:val="000000" w:themeColor="text1"/>
          <w:kern w:val="24"/>
          <w:sz w:val="24"/>
          <w:szCs w:val="24"/>
        </w:rPr>
        <w:t xml:space="preserve"> W tym miejscu należy zaznaczyć, że Śląski Oddział Wojewódzki w Katowicach reguluje zapłatę naszych należności niezwłocznie po otrzymaniu od nas faktur sprzedażowych.</w:t>
      </w:r>
      <w:r w:rsidR="00C57BD7">
        <w:rPr>
          <w:rFonts w:ascii="Times New Roman" w:hAnsi="Times New Roman" w:cs="Times New Roman"/>
          <w:iCs/>
          <w:color w:val="000000" w:themeColor="text1"/>
          <w:kern w:val="24"/>
          <w:sz w:val="24"/>
          <w:szCs w:val="24"/>
        </w:rPr>
        <w:t xml:space="preserve"> Taka sama sytuacja ma miejsce z należnościami z tytułu badań okresowych. W większości przypadków </w:t>
      </w:r>
      <w:proofErr w:type="spellStart"/>
      <w:r w:rsidR="00C57BD7">
        <w:rPr>
          <w:rFonts w:ascii="Times New Roman" w:hAnsi="Times New Roman" w:cs="Times New Roman"/>
          <w:iCs/>
          <w:color w:val="000000" w:themeColor="text1"/>
          <w:kern w:val="24"/>
          <w:sz w:val="24"/>
          <w:szCs w:val="24"/>
        </w:rPr>
        <w:t>sa</w:t>
      </w:r>
      <w:proofErr w:type="spellEnd"/>
      <w:r w:rsidR="00C57BD7">
        <w:rPr>
          <w:rFonts w:ascii="Times New Roman" w:hAnsi="Times New Roman" w:cs="Times New Roman"/>
          <w:iCs/>
          <w:color w:val="000000" w:themeColor="text1"/>
          <w:kern w:val="24"/>
          <w:sz w:val="24"/>
          <w:szCs w:val="24"/>
        </w:rPr>
        <w:t xml:space="preserve"> to zakłady budżetowe, które regulują płatności zgodnie z zawartymi umowami-terminowo. W sytuacji opóźnienia w spłacie przez osoby fizyczne wdraża się procedurę windykacyjną, bardzo sporadycznie.</w:t>
      </w:r>
    </w:p>
    <w:p w14:paraId="34552612" w14:textId="77777777" w:rsidR="00BD414B" w:rsidRPr="00765010" w:rsidRDefault="00BD414B" w:rsidP="00A57A5B">
      <w:pPr>
        <w:spacing w:after="0"/>
        <w:ind w:left="360"/>
        <w:jc w:val="both"/>
        <w:rPr>
          <w:rFonts w:ascii="Times New Roman" w:hAnsi="Times New Roman" w:cs="Times New Roman"/>
          <w:iCs/>
          <w:color w:val="000000" w:themeColor="text1"/>
          <w:kern w:val="24"/>
          <w:sz w:val="24"/>
          <w:szCs w:val="24"/>
        </w:rPr>
      </w:pPr>
    </w:p>
    <w:p w14:paraId="18C8F3C7" w14:textId="77777777" w:rsidR="00BD414B" w:rsidRPr="00765010" w:rsidRDefault="00427569" w:rsidP="00A57A5B">
      <w:pPr>
        <w:spacing w:after="0"/>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2). Wskaźnik rotacji zobowiązań określa okres, jaki jest potrzebny podmiotowi do spłacenia swoich zobowiązań krótkoterminowych. Zbyt wysoka wartość wskaźnika może świadczyć </w:t>
      </w:r>
      <w:r w:rsidR="00012350" w:rsidRPr="00765010">
        <w:rPr>
          <w:rFonts w:ascii="Times New Roman" w:hAnsi="Times New Roman" w:cs="Times New Roman"/>
          <w:iCs/>
          <w:color w:val="000000" w:themeColor="text1"/>
          <w:kern w:val="24"/>
          <w:sz w:val="24"/>
          <w:szCs w:val="24"/>
        </w:rPr>
        <w:t xml:space="preserve">               </w:t>
      </w:r>
    </w:p>
    <w:p w14:paraId="19115678" w14:textId="73CCF466" w:rsidR="00427569" w:rsidRPr="00765010" w:rsidRDefault="00012350" w:rsidP="00A57A5B">
      <w:pPr>
        <w:spacing w:after="0"/>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427569" w:rsidRPr="00765010">
        <w:rPr>
          <w:rFonts w:ascii="Times New Roman" w:hAnsi="Times New Roman" w:cs="Times New Roman"/>
          <w:iCs/>
          <w:color w:val="000000" w:themeColor="text1"/>
          <w:kern w:val="24"/>
          <w:sz w:val="24"/>
          <w:szCs w:val="24"/>
        </w:rPr>
        <w:t>o trudnościach podmiotu w regulowaniu swoich bieżących zobowiązań.</w:t>
      </w:r>
    </w:p>
    <w:p w14:paraId="6AF24BEC" w14:textId="77777777" w:rsidR="00BD414B" w:rsidRPr="00765010" w:rsidRDefault="006E3649" w:rsidP="00A57A5B">
      <w:pPr>
        <w:spacing w:after="0"/>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Wskaźnik rotacji zobowiązań Samodzielnym Publicznym Zakładzie Opieki Zdrowotnej </w:t>
      </w:r>
      <w:r w:rsidR="00715E7A" w:rsidRPr="00765010">
        <w:rPr>
          <w:rFonts w:ascii="Times New Roman" w:hAnsi="Times New Roman" w:cs="Times New Roman"/>
          <w:iCs/>
          <w:color w:val="000000" w:themeColor="text1"/>
          <w:kern w:val="24"/>
          <w:sz w:val="24"/>
          <w:szCs w:val="24"/>
        </w:rPr>
        <w:t xml:space="preserve">              </w:t>
      </w:r>
    </w:p>
    <w:p w14:paraId="492F026D" w14:textId="29E86130" w:rsidR="00427569" w:rsidRPr="00765010" w:rsidRDefault="00715E7A" w:rsidP="00BD414B">
      <w:pPr>
        <w:spacing w:after="0"/>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 </w:t>
      </w:r>
      <w:r w:rsidR="006E3649" w:rsidRPr="00765010">
        <w:rPr>
          <w:rFonts w:ascii="Times New Roman" w:hAnsi="Times New Roman" w:cs="Times New Roman"/>
          <w:iCs/>
          <w:color w:val="000000" w:themeColor="text1"/>
          <w:kern w:val="24"/>
          <w:sz w:val="24"/>
          <w:szCs w:val="24"/>
        </w:rPr>
        <w:t>w Sławkowie za 20</w:t>
      </w:r>
      <w:r w:rsidR="0089345E" w:rsidRPr="00765010">
        <w:rPr>
          <w:rFonts w:ascii="Times New Roman" w:hAnsi="Times New Roman" w:cs="Times New Roman"/>
          <w:iCs/>
          <w:color w:val="000000" w:themeColor="text1"/>
          <w:kern w:val="24"/>
          <w:sz w:val="24"/>
          <w:szCs w:val="24"/>
        </w:rPr>
        <w:t>2</w:t>
      </w:r>
      <w:r w:rsidR="00950B37" w:rsidRPr="00765010">
        <w:rPr>
          <w:rFonts w:ascii="Times New Roman" w:hAnsi="Times New Roman" w:cs="Times New Roman"/>
          <w:iCs/>
          <w:color w:val="000000" w:themeColor="text1"/>
          <w:kern w:val="24"/>
          <w:sz w:val="24"/>
          <w:szCs w:val="24"/>
        </w:rPr>
        <w:t>3</w:t>
      </w:r>
      <w:r w:rsidR="00012350" w:rsidRPr="00765010">
        <w:rPr>
          <w:rFonts w:ascii="Times New Roman" w:hAnsi="Times New Roman" w:cs="Times New Roman"/>
          <w:iCs/>
          <w:color w:val="000000" w:themeColor="text1"/>
          <w:kern w:val="24"/>
          <w:sz w:val="24"/>
          <w:szCs w:val="24"/>
        </w:rPr>
        <w:t xml:space="preserve"> rok</w:t>
      </w:r>
      <w:r w:rsidR="006E3649" w:rsidRPr="00765010">
        <w:rPr>
          <w:rFonts w:ascii="Times New Roman" w:hAnsi="Times New Roman" w:cs="Times New Roman"/>
          <w:iCs/>
          <w:color w:val="000000" w:themeColor="text1"/>
          <w:kern w:val="24"/>
          <w:sz w:val="24"/>
          <w:szCs w:val="24"/>
        </w:rPr>
        <w:t xml:space="preserve"> wyniósł </w:t>
      </w:r>
      <w:r w:rsidR="00950B37" w:rsidRPr="00765010">
        <w:rPr>
          <w:rFonts w:ascii="Times New Roman" w:hAnsi="Times New Roman" w:cs="Times New Roman"/>
          <w:iCs/>
          <w:color w:val="000000" w:themeColor="text1"/>
          <w:kern w:val="24"/>
          <w:sz w:val="24"/>
          <w:szCs w:val="24"/>
        </w:rPr>
        <w:t>26</w:t>
      </w:r>
      <w:r w:rsidR="00756DE0" w:rsidRPr="00765010">
        <w:rPr>
          <w:rFonts w:ascii="Times New Roman" w:hAnsi="Times New Roman" w:cs="Times New Roman"/>
          <w:iCs/>
          <w:color w:val="000000" w:themeColor="text1"/>
          <w:kern w:val="24"/>
          <w:sz w:val="24"/>
          <w:szCs w:val="24"/>
        </w:rPr>
        <w:t xml:space="preserve"> i uzyskał ocenę 7 </w:t>
      </w:r>
      <w:r w:rsidR="0089345E" w:rsidRPr="00765010">
        <w:rPr>
          <w:rFonts w:ascii="Times New Roman" w:hAnsi="Times New Roman" w:cs="Times New Roman"/>
          <w:iCs/>
          <w:color w:val="000000" w:themeColor="text1"/>
          <w:kern w:val="24"/>
          <w:sz w:val="24"/>
          <w:szCs w:val="24"/>
        </w:rPr>
        <w:t xml:space="preserve"> </w:t>
      </w:r>
      <w:r w:rsidR="006E3649" w:rsidRPr="00765010">
        <w:rPr>
          <w:rFonts w:ascii="Times New Roman" w:hAnsi="Times New Roman" w:cs="Times New Roman"/>
          <w:iCs/>
          <w:color w:val="000000" w:themeColor="text1"/>
          <w:kern w:val="24"/>
          <w:sz w:val="24"/>
          <w:szCs w:val="24"/>
        </w:rPr>
        <w:t xml:space="preserve">co oznacza, </w:t>
      </w:r>
      <w:r w:rsidR="00756DE0" w:rsidRPr="00765010">
        <w:rPr>
          <w:rFonts w:ascii="Times New Roman" w:hAnsi="Times New Roman" w:cs="Times New Roman"/>
          <w:iCs/>
          <w:color w:val="000000" w:themeColor="text1"/>
          <w:kern w:val="24"/>
          <w:sz w:val="24"/>
          <w:szCs w:val="24"/>
        </w:rPr>
        <w:t>że SPZOZ reguluje swoje zobowiązania do 60 dni.</w:t>
      </w:r>
    </w:p>
    <w:p w14:paraId="3504D069" w14:textId="48D8AF33" w:rsidR="00183DF5" w:rsidRPr="00765010" w:rsidRDefault="00183DF5" w:rsidP="00BD414B">
      <w:pPr>
        <w:spacing w:after="0"/>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Jeżeli chodzi o zobowiązania to staramy się je regulować na bieżąco po</w:t>
      </w:r>
      <w:r w:rsidR="002007AF">
        <w:rPr>
          <w:rFonts w:ascii="Times New Roman" w:hAnsi="Times New Roman" w:cs="Times New Roman"/>
          <w:iCs/>
          <w:color w:val="000000" w:themeColor="text1"/>
          <w:kern w:val="24"/>
          <w:sz w:val="24"/>
          <w:szCs w:val="24"/>
        </w:rPr>
        <w:t xml:space="preserve"> zakończonej kontroli dokumentu księgowego. Wszystkie zobowiązania wobec Pracowników, Zleceniobiorców jak również Instytucji publiczno-prawnych staramy się realizować terminowo.</w:t>
      </w:r>
    </w:p>
    <w:p w14:paraId="3AFA371A" w14:textId="77777777" w:rsidR="00BD414B" w:rsidRPr="00765010" w:rsidRDefault="00BD414B" w:rsidP="00BD414B">
      <w:pPr>
        <w:pStyle w:val="Akapitzlist"/>
        <w:jc w:val="both"/>
        <w:rPr>
          <w:rFonts w:eastAsiaTheme="minorEastAsia"/>
          <w:b/>
          <w:iCs/>
          <w:color w:val="000000" w:themeColor="text1"/>
          <w:kern w:val="24"/>
          <w:u w:val="single"/>
        </w:rPr>
      </w:pPr>
    </w:p>
    <w:p w14:paraId="341FA418" w14:textId="50287415" w:rsidR="00955FD5" w:rsidRPr="00765010" w:rsidRDefault="00EE4BF8" w:rsidP="00BD414B">
      <w:pPr>
        <w:pStyle w:val="Akapitzlist"/>
        <w:numPr>
          <w:ilvl w:val="0"/>
          <w:numId w:val="10"/>
        </w:numPr>
        <w:jc w:val="both"/>
        <w:rPr>
          <w:rFonts w:eastAsiaTheme="minorEastAsia"/>
          <w:b/>
          <w:iCs/>
          <w:color w:val="000000" w:themeColor="text1"/>
          <w:kern w:val="24"/>
          <w:u w:val="single"/>
        </w:rPr>
      </w:pPr>
      <w:r w:rsidRPr="00765010">
        <w:rPr>
          <w:rFonts w:eastAsiaTheme="minorEastAsia"/>
          <w:b/>
          <w:iCs/>
          <w:color w:val="000000" w:themeColor="text1"/>
          <w:kern w:val="24"/>
          <w:u w:val="single"/>
        </w:rPr>
        <w:t xml:space="preserve">Wskaźniki zadłużenia </w:t>
      </w:r>
    </w:p>
    <w:p w14:paraId="4655BA16" w14:textId="20A1C71C" w:rsidR="00975B60" w:rsidRPr="00765010" w:rsidRDefault="00975B60" w:rsidP="00BD414B">
      <w:pPr>
        <w:pStyle w:val="Akapitzlist"/>
        <w:jc w:val="both"/>
        <w:rPr>
          <w:rFonts w:eastAsiaTheme="minorEastAsia"/>
          <w:b/>
          <w:iCs/>
          <w:color w:val="000000" w:themeColor="text1"/>
          <w:kern w:val="24"/>
          <w:u w:val="single"/>
        </w:rPr>
      </w:pPr>
    </w:p>
    <w:p w14:paraId="3CE7025D" w14:textId="670A326E" w:rsidR="00EE4BF8" w:rsidRPr="00765010" w:rsidRDefault="00955FD5" w:rsidP="009E33E0">
      <w:pPr>
        <w:pStyle w:val="Akapitzlist"/>
        <w:ind w:firstLine="696"/>
        <w:jc w:val="both"/>
        <w:rPr>
          <w:rFonts w:eastAsiaTheme="minorEastAsia"/>
          <w:iCs/>
          <w:color w:val="000000" w:themeColor="text1"/>
          <w:kern w:val="24"/>
        </w:rPr>
      </w:pPr>
      <w:r w:rsidRPr="00765010">
        <w:rPr>
          <w:rFonts w:eastAsiaTheme="minorEastAsia"/>
          <w:iCs/>
          <w:color w:val="000000" w:themeColor="text1"/>
          <w:kern w:val="24"/>
        </w:rPr>
        <w:t xml:space="preserve">Wskaźniki zadłużenia  </w:t>
      </w:r>
      <w:r w:rsidR="00EE4BF8" w:rsidRPr="00765010">
        <w:rPr>
          <w:rFonts w:eastAsiaTheme="minorEastAsia"/>
          <w:iCs/>
          <w:color w:val="000000" w:themeColor="text1"/>
          <w:kern w:val="24"/>
        </w:rPr>
        <w:t>informują o stopniu finansowania aktywów kapitałami obcymi. Zbyt wysoka wartość wskaźnika podwyższa wiarygodność finansową podmiotu. Wskaźnik zadłużenia aktywów przedstawia również stopień zabezpieczenia spłaty całości zadłużenia podmiotu jego zasobami majątkowymi.</w:t>
      </w:r>
    </w:p>
    <w:p w14:paraId="0D3D9130" w14:textId="77777777" w:rsidR="00BD414B" w:rsidRPr="00765010" w:rsidRDefault="00BD414B" w:rsidP="00BD414B">
      <w:pPr>
        <w:pStyle w:val="Akapitzlist"/>
        <w:jc w:val="both"/>
        <w:rPr>
          <w:rFonts w:eastAsiaTheme="minorEastAsia"/>
          <w:iCs/>
          <w:color w:val="000000" w:themeColor="text1"/>
          <w:kern w:val="24"/>
        </w:rPr>
      </w:pPr>
    </w:p>
    <w:p w14:paraId="055274DE" w14:textId="77777777" w:rsidR="00EE4BF8" w:rsidRPr="00765010" w:rsidRDefault="00EE4BF8" w:rsidP="00BD414B">
      <w:pPr>
        <w:ind w:left="36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1). Wskaźnik zadłużenia aktywów informuje o stopniu finansowania aktywów kapitałami obcymi </w:t>
      </w:r>
    </w:p>
    <w:p w14:paraId="475A1C46" w14:textId="431134AA" w:rsidR="00EE4BF8" w:rsidRPr="00765010" w:rsidRDefault="00EE4BF8" w:rsidP="00BD414B">
      <w:pPr>
        <w:ind w:left="708"/>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Wskaźnik zadłużenia aktywów w Samodzielnym Publicznym Zakładzie Opieki Zdrowotnej </w:t>
      </w:r>
      <w:r w:rsidR="00715E7A" w:rsidRPr="00765010">
        <w:rPr>
          <w:rFonts w:ascii="Times New Roman" w:hAnsi="Times New Roman" w:cs="Times New Roman"/>
          <w:iCs/>
          <w:color w:val="000000" w:themeColor="text1"/>
          <w:kern w:val="24"/>
          <w:sz w:val="24"/>
          <w:szCs w:val="24"/>
        </w:rPr>
        <w:t xml:space="preserve">  </w:t>
      </w:r>
      <w:r w:rsidR="000D2EB1" w:rsidRPr="00765010">
        <w:rPr>
          <w:rFonts w:ascii="Times New Roman" w:hAnsi="Times New Roman" w:cs="Times New Roman"/>
          <w:iCs/>
          <w:color w:val="000000" w:themeColor="text1"/>
          <w:kern w:val="24"/>
          <w:sz w:val="24"/>
          <w:szCs w:val="24"/>
        </w:rPr>
        <w:t xml:space="preserve">            </w:t>
      </w:r>
      <w:r w:rsidR="00533864" w:rsidRPr="00765010">
        <w:rPr>
          <w:rFonts w:ascii="Times New Roman" w:hAnsi="Times New Roman" w:cs="Times New Roman"/>
          <w:iCs/>
          <w:color w:val="000000" w:themeColor="text1"/>
          <w:kern w:val="24"/>
          <w:sz w:val="24"/>
          <w:szCs w:val="24"/>
        </w:rPr>
        <w:br/>
      </w:r>
      <w:r w:rsidRPr="00765010">
        <w:rPr>
          <w:rFonts w:ascii="Times New Roman" w:hAnsi="Times New Roman" w:cs="Times New Roman"/>
          <w:iCs/>
          <w:color w:val="000000" w:themeColor="text1"/>
          <w:kern w:val="24"/>
          <w:sz w:val="24"/>
          <w:szCs w:val="24"/>
        </w:rPr>
        <w:t>w Sławkowie za 20</w:t>
      </w:r>
      <w:r w:rsidR="00B165F3" w:rsidRPr="00765010">
        <w:rPr>
          <w:rFonts w:ascii="Times New Roman" w:hAnsi="Times New Roman" w:cs="Times New Roman"/>
          <w:iCs/>
          <w:color w:val="000000" w:themeColor="text1"/>
          <w:kern w:val="24"/>
          <w:sz w:val="24"/>
          <w:szCs w:val="24"/>
        </w:rPr>
        <w:t>2</w:t>
      </w:r>
      <w:r w:rsidR="00B46DFE" w:rsidRPr="00765010">
        <w:rPr>
          <w:rFonts w:ascii="Times New Roman" w:hAnsi="Times New Roman" w:cs="Times New Roman"/>
          <w:iCs/>
          <w:color w:val="000000" w:themeColor="text1"/>
          <w:kern w:val="24"/>
          <w:sz w:val="24"/>
          <w:szCs w:val="24"/>
        </w:rPr>
        <w:t>3</w:t>
      </w:r>
      <w:r w:rsidR="000D2EB1" w:rsidRPr="00765010">
        <w:rPr>
          <w:rFonts w:ascii="Times New Roman" w:hAnsi="Times New Roman" w:cs="Times New Roman"/>
          <w:iCs/>
          <w:color w:val="000000" w:themeColor="text1"/>
          <w:kern w:val="24"/>
          <w:sz w:val="24"/>
          <w:szCs w:val="24"/>
        </w:rPr>
        <w:t xml:space="preserve"> rok </w:t>
      </w:r>
      <w:r w:rsidRPr="00765010">
        <w:rPr>
          <w:rFonts w:ascii="Times New Roman" w:hAnsi="Times New Roman" w:cs="Times New Roman"/>
          <w:iCs/>
          <w:color w:val="000000" w:themeColor="text1"/>
          <w:kern w:val="24"/>
          <w:sz w:val="24"/>
          <w:szCs w:val="24"/>
        </w:rPr>
        <w:t xml:space="preserve"> wyniósł </w:t>
      </w:r>
      <w:r w:rsidR="00B165F3" w:rsidRPr="00765010">
        <w:rPr>
          <w:rFonts w:ascii="Times New Roman" w:hAnsi="Times New Roman" w:cs="Times New Roman"/>
          <w:iCs/>
          <w:color w:val="000000" w:themeColor="text1"/>
          <w:kern w:val="24"/>
          <w:sz w:val="24"/>
          <w:szCs w:val="24"/>
        </w:rPr>
        <w:t>1</w:t>
      </w:r>
      <w:r w:rsidR="00756DE0" w:rsidRPr="00765010">
        <w:rPr>
          <w:rFonts w:ascii="Times New Roman" w:hAnsi="Times New Roman" w:cs="Times New Roman"/>
          <w:iCs/>
          <w:color w:val="000000" w:themeColor="text1"/>
          <w:kern w:val="24"/>
          <w:sz w:val="24"/>
          <w:szCs w:val="24"/>
        </w:rPr>
        <w:t>0</w:t>
      </w:r>
      <w:r w:rsidRPr="00765010">
        <w:rPr>
          <w:rFonts w:ascii="Times New Roman" w:hAnsi="Times New Roman" w:cs="Times New Roman"/>
          <w:iCs/>
          <w:color w:val="000000" w:themeColor="text1"/>
          <w:kern w:val="24"/>
          <w:sz w:val="24"/>
          <w:szCs w:val="24"/>
        </w:rPr>
        <w:t>%  co oznacza, ze mieści się w przedziale 1</w:t>
      </w:r>
      <w:r w:rsidR="00061ED6">
        <w:rPr>
          <w:rFonts w:ascii="Times New Roman" w:hAnsi="Times New Roman" w:cs="Times New Roman"/>
          <w:iCs/>
          <w:color w:val="000000" w:themeColor="text1"/>
          <w:kern w:val="24"/>
          <w:sz w:val="24"/>
          <w:szCs w:val="24"/>
        </w:rPr>
        <w:t xml:space="preserve"> najniższym </w:t>
      </w:r>
      <w:r w:rsidRPr="00765010">
        <w:rPr>
          <w:rFonts w:ascii="Times New Roman" w:hAnsi="Times New Roman" w:cs="Times New Roman"/>
          <w:iCs/>
          <w:color w:val="000000" w:themeColor="text1"/>
          <w:kern w:val="24"/>
          <w:sz w:val="24"/>
          <w:szCs w:val="24"/>
        </w:rPr>
        <w:t xml:space="preserve"> -tabeli Rozporządzenia Ministra Zdrowia z 12.04.2017</w:t>
      </w:r>
      <w:r w:rsidR="002547F5">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r</w:t>
      </w:r>
      <w:r w:rsidR="002547F5">
        <w:rPr>
          <w:rFonts w:ascii="Times New Roman" w:hAnsi="Times New Roman" w:cs="Times New Roman"/>
          <w:iCs/>
          <w:color w:val="000000" w:themeColor="text1"/>
          <w:kern w:val="24"/>
          <w:sz w:val="24"/>
          <w:szCs w:val="24"/>
        </w:rPr>
        <w:t>.</w:t>
      </w:r>
      <w:r w:rsidRPr="00765010">
        <w:rPr>
          <w:rFonts w:ascii="Times New Roman" w:hAnsi="Times New Roman" w:cs="Times New Roman"/>
          <w:iCs/>
          <w:color w:val="000000" w:themeColor="text1"/>
          <w:kern w:val="24"/>
          <w:sz w:val="24"/>
          <w:szCs w:val="24"/>
        </w:rPr>
        <w:t xml:space="preserve"> poniżej 40%  uzyskuje ocenę 10.</w:t>
      </w:r>
    </w:p>
    <w:p w14:paraId="66FB8909" w14:textId="7904CEF7" w:rsidR="00EE4BF8" w:rsidRPr="00765010" w:rsidRDefault="00EE4BF8" w:rsidP="00BD414B">
      <w:pPr>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2). Wskaźnik wypłacalności określa wielkość funduszy obcych przypadających na jednostkę funduszu</w:t>
      </w:r>
      <w:r w:rsidR="006655BD" w:rsidRPr="00765010">
        <w:rPr>
          <w:rFonts w:ascii="Times New Roman" w:hAnsi="Times New Roman" w:cs="Times New Roman"/>
          <w:iCs/>
          <w:color w:val="000000" w:themeColor="text1"/>
          <w:kern w:val="24"/>
          <w:sz w:val="24"/>
          <w:szCs w:val="24"/>
        </w:rPr>
        <w:br/>
      </w:r>
      <w:r w:rsidRPr="00765010">
        <w:rPr>
          <w:rFonts w:ascii="Times New Roman" w:hAnsi="Times New Roman" w:cs="Times New Roman"/>
          <w:iCs/>
          <w:color w:val="000000" w:themeColor="text1"/>
          <w:kern w:val="24"/>
          <w:sz w:val="24"/>
          <w:szCs w:val="24"/>
        </w:rPr>
        <w:t xml:space="preserve"> </w:t>
      </w:r>
      <w:r w:rsidR="006655BD"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własnego. Wysoka wartość wskaźnika wskazuje na możliwość utraty zdolności do regulowania przez</w:t>
      </w:r>
      <w:r w:rsidR="00B46DFE" w:rsidRPr="00765010">
        <w:rPr>
          <w:rFonts w:ascii="Times New Roman" w:hAnsi="Times New Roman" w:cs="Times New Roman"/>
          <w:iCs/>
          <w:color w:val="000000" w:themeColor="text1"/>
          <w:kern w:val="24"/>
          <w:sz w:val="24"/>
          <w:szCs w:val="24"/>
        </w:rPr>
        <w:t xml:space="preserve"> </w:t>
      </w:r>
      <w:r w:rsidR="006655BD"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podmiot zobowiązań.</w:t>
      </w:r>
    </w:p>
    <w:p w14:paraId="5AC515C7" w14:textId="3D18CB78" w:rsidR="00EE4BF8" w:rsidRPr="00765010" w:rsidRDefault="00EE4BF8" w:rsidP="006655BD">
      <w:pPr>
        <w:ind w:left="70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Wskaźnik wypłacalności w Samodzielnym Publicznym Zakładzie Opieki Zdrowotnej </w:t>
      </w:r>
      <w:r w:rsidR="00715E7A" w:rsidRPr="00765010">
        <w:rPr>
          <w:rFonts w:ascii="Times New Roman" w:hAnsi="Times New Roman" w:cs="Times New Roman"/>
          <w:iCs/>
          <w:color w:val="000000" w:themeColor="text1"/>
          <w:kern w:val="24"/>
          <w:sz w:val="24"/>
          <w:szCs w:val="24"/>
        </w:rPr>
        <w:t xml:space="preserve">             </w:t>
      </w:r>
      <w:r w:rsidR="006655BD" w:rsidRPr="00765010">
        <w:rPr>
          <w:rFonts w:ascii="Times New Roman" w:hAnsi="Times New Roman" w:cs="Times New Roman"/>
          <w:iCs/>
          <w:color w:val="000000" w:themeColor="text1"/>
          <w:kern w:val="24"/>
          <w:sz w:val="24"/>
          <w:szCs w:val="24"/>
        </w:rPr>
        <w:br/>
      </w:r>
      <w:r w:rsidRPr="00765010">
        <w:rPr>
          <w:rFonts w:ascii="Times New Roman" w:hAnsi="Times New Roman" w:cs="Times New Roman"/>
          <w:iCs/>
          <w:color w:val="000000" w:themeColor="text1"/>
          <w:kern w:val="24"/>
          <w:sz w:val="24"/>
          <w:szCs w:val="24"/>
        </w:rPr>
        <w:t>w Sławkowie za 20</w:t>
      </w:r>
      <w:r w:rsidR="00B165F3" w:rsidRPr="00765010">
        <w:rPr>
          <w:rFonts w:ascii="Times New Roman" w:hAnsi="Times New Roman" w:cs="Times New Roman"/>
          <w:iCs/>
          <w:color w:val="000000" w:themeColor="text1"/>
          <w:kern w:val="24"/>
          <w:sz w:val="24"/>
          <w:szCs w:val="24"/>
        </w:rPr>
        <w:t>2</w:t>
      </w:r>
      <w:r w:rsidR="00B46DFE" w:rsidRPr="00765010">
        <w:rPr>
          <w:rFonts w:ascii="Times New Roman" w:hAnsi="Times New Roman" w:cs="Times New Roman"/>
          <w:iCs/>
          <w:color w:val="000000" w:themeColor="text1"/>
          <w:kern w:val="24"/>
          <w:sz w:val="24"/>
          <w:szCs w:val="24"/>
        </w:rPr>
        <w:t>3</w:t>
      </w:r>
      <w:r w:rsidR="000D2EB1" w:rsidRPr="00765010">
        <w:rPr>
          <w:rFonts w:ascii="Times New Roman" w:hAnsi="Times New Roman" w:cs="Times New Roman"/>
          <w:iCs/>
          <w:color w:val="000000" w:themeColor="text1"/>
          <w:kern w:val="24"/>
          <w:sz w:val="24"/>
          <w:szCs w:val="24"/>
        </w:rPr>
        <w:t xml:space="preserve"> rok</w:t>
      </w:r>
      <w:r w:rsidRPr="00765010">
        <w:rPr>
          <w:rFonts w:ascii="Times New Roman" w:hAnsi="Times New Roman" w:cs="Times New Roman"/>
          <w:iCs/>
          <w:color w:val="000000" w:themeColor="text1"/>
          <w:kern w:val="24"/>
          <w:sz w:val="24"/>
          <w:szCs w:val="24"/>
        </w:rPr>
        <w:t xml:space="preserve"> wyniósł 0,</w:t>
      </w:r>
      <w:r w:rsidR="00B165F3" w:rsidRPr="00765010">
        <w:rPr>
          <w:rFonts w:ascii="Times New Roman" w:hAnsi="Times New Roman" w:cs="Times New Roman"/>
          <w:iCs/>
          <w:color w:val="000000" w:themeColor="text1"/>
          <w:kern w:val="24"/>
          <w:sz w:val="24"/>
          <w:szCs w:val="24"/>
        </w:rPr>
        <w:t>1</w:t>
      </w:r>
      <w:r w:rsidR="00B46DFE" w:rsidRPr="00765010">
        <w:rPr>
          <w:rFonts w:ascii="Times New Roman" w:hAnsi="Times New Roman" w:cs="Times New Roman"/>
          <w:iCs/>
          <w:color w:val="000000" w:themeColor="text1"/>
          <w:kern w:val="24"/>
          <w:sz w:val="24"/>
          <w:szCs w:val="24"/>
        </w:rPr>
        <w:t>2</w:t>
      </w:r>
      <w:r w:rsidRPr="00765010">
        <w:rPr>
          <w:rFonts w:ascii="Times New Roman" w:hAnsi="Times New Roman" w:cs="Times New Roman"/>
          <w:iCs/>
          <w:color w:val="000000" w:themeColor="text1"/>
          <w:kern w:val="24"/>
          <w:sz w:val="24"/>
          <w:szCs w:val="24"/>
        </w:rPr>
        <w:t xml:space="preserve">  co oznacza, ze mieści się w przedziale 1 -tabeli Rozporządzenia Ministra Zdrowia z 12.04.2017r </w:t>
      </w:r>
      <w:r w:rsidR="00102D15" w:rsidRPr="00765010">
        <w:rPr>
          <w:rFonts w:ascii="Times New Roman" w:hAnsi="Times New Roman" w:cs="Times New Roman"/>
          <w:iCs/>
          <w:color w:val="000000" w:themeColor="text1"/>
          <w:kern w:val="24"/>
          <w:sz w:val="24"/>
          <w:szCs w:val="24"/>
        </w:rPr>
        <w:t xml:space="preserve"> od 0,00-0,50 i uzyskuje </w:t>
      </w:r>
      <w:r w:rsidRPr="00765010">
        <w:rPr>
          <w:rFonts w:ascii="Times New Roman" w:hAnsi="Times New Roman" w:cs="Times New Roman"/>
          <w:iCs/>
          <w:color w:val="000000" w:themeColor="text1"/>
          <w:kern w:val="24"/>
          <w:sz w:val="24"/>
          <w:szCs w:val="24"/>
        </w:rPr>
        <w:t xml:space="preserve"> ocenę 10.</w:t>
      </w:r>
    </w:p>
    <w:p w14:paraId="2FA7962E" w14:textId="77777777" w:rsidR="00B33A17" w:rsidRPr="00765010" w:rsidRDefault="002A7A81" w:rsidP="009E33E0">
      <w:pPr>
        <w:ind w:left="284" w:firstLine="42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W </w:t>
      </w:r>
      <w:r w:rsidR="00820F7E" w:rsidRPr="00765010">
        <w:rPr>
          <w:rFonts w:ascii="Times New Roman" w:hAnsi="Times New Roman" w:cs="Times New Roman"/>
          <w:iCs/>
          <w:color w:val="000000" w:themeColor="text1"/>
          <w:kern w:val="24"/>
          <w:sz w:val="24"/>
          <w:szCs w:val="24"/>
        </w:rPr>
        <w:t xml:space="preserve"> wyniku analizy wskaźników</w:t>
      </w:r>
      <w:r w:rsidR="00877601" w:rsidRPr="00765010">
        <w:rPr>
          <w:rFonts w:ascii="Times New Roman" w:hAnsi="Times New Roman" w:cs="Times New Roman"/>
          <w:iCs/>
          <w:color w:val="000000" w:themeColor="text1"/>
          <w:kern w:val="24"/>
          <w:sz w:val="24"/>
          <w:szCs w:val="24"/>
        </w:rPr>
        <w:t xml:space="preserve"> sporządzonej na podstawie </w:t>
      </w:r>
      <w:r w:rsidR="00E32C47" w:rsidRPr="00765010">
        <w:rPr>
          <w:rFonts w:ascii="Times New Roman" w:hAnsi="Times New Roman" w:cs="Times New Roman"/>
          <w:iCs/>
          <w:color w:val="000000" w:themeColor="text1"/>
          <w:kern w:val="24"/>
          <w:sz w:val="24"/>
          <w:szCs w:val="24"/>
        </w:rPr>
        <w:t>sprawozdania finansowego za 20</w:t>
      </w:r>
      <w:r w:rsidR="00B165F3" w:rsidRPr="00765010">
        <w:rPr>
          <w:rFonts w:ascii="Times New Roman" w:hAnsi="Times New Roman" w:cs="Times New Roman"/>
          <w:iCs/>
          <w:color w:val="000000" w:themeColor="text1"/>
          <w:kern w:val="24"/>
          <w:sz w:val="24"/>
          <w:szCs w:val="24"/>
        </w:rPr>
        <w:t>2</w:t>
      </w:r>
      <w:r w:rsidR="00B33A17" w:rsidRPr="00765010">
        <w:rPr>
          <w:rFonts w:ascii="Times New Roman" w:hAnsi="Times New Roman" w:cs="Times New Roman"/>
          <w:iCs/>
          <w:color w:val="000000" w:themeColor="text1"/>
          <w:kern w:val="24"/>
          <w:sz w:val="24"/>
          <w:szCs w:val="24"/>
        </w:rPr>
        <w:t>3</w:t>
      </w:r>
      <w:r w:rsidR="00A11EAC" w:rsidRPr="00765010">
        <w:rPr>
          <w:rFonts w:ascii="Times New Roman" w:hAnsi="Times New Roman" w:cs="Times New Roman"/>
          <w:iCs/>
          <w:color w:val="000000" w:themeColor="text1"/>
          <w:kern w:val="24"/>
          <w:sz w:val="24"/>
          <w:szCs w:val="24"/>
        </w:rPr>
        <w:t xml:space="preserve">rok </w:t>
      </w:r>
      <w:r w:rsidR="00F52EAA" w:rsidRPr="00765010">
        <w:rPr>
          <w:rFonts w:ascii="Times New Roman" w:hAnsi="Times New Roman" w:cs="Times New Roman"/>
          <w:iCs/>
          <w:color w:val="000000" w:themeColor="text1"/>
          <w:kern w:val="24"/>
          <w:sz w:val="24"/>
          <w:szCs w:val="24"/>
        </w:rPr>
        <w:t xml:space="preserve"> </w:t>
      </w:r>
      <w:r w:rsidR="00820F7E" w:rsidRPr="00765010">
        <w:rPr>
          <w:rFonts w:ascii="Times New Roman" w:hAnsi="Times New Roman" w:cs="Times New Roman"/>
          <w:iCs/>
          <w:color w:val="000000" w:themeColor="text1"/>
          <w:kern w:val="24"/>
          <w:sz w:val="24"/>
          <w:szCs w:val="24"/>
        </w:rPr>
        <w:t>przy zastosowaniu metody punktowej  uzyskano</w:t>
      </w:r>
      <w:r w:rsidR="00715E7A" w:rsidRPr="00765010">
        <w:rPr>
          <w:rFonts w:ascii="Times New Roman" w:hAnsi="Times New Roman" w:cs="Times New Roman"/>
          <w:iCs/>
          <w:color w:val="000000" w:themeColor="text1"/>
          <w:kern w:val="24"/>
          <w:sz w:val="24"/>
          <w:szCs w:val="24"/>
        </w:rPr>
        <w:t>:</w:t>
      </w:r>
      <w:r w:rsidR="00820F7E" w:rsidRPr="00765010">
        <w:rPr>
          <w:rFonts w:ascii="Times New Roman" w:hAnsi="Times New Roman" w:cs="Times New Roman"/>
          <w:iCs/>
          <w:color w:val="000000" w:themeColor="text1"/>
          <w:kern w:val="24"/>
          <w:sz w:val="24"/>
          <w:szCs w:val="24"/>
        </w:rPr>
        <w:t xml:space="preserve"> </w:t>
      </w:r>
      <w:r w:rsidR="00E32C47" w:rsidRPr="00765010">
        <w:rPr>
          <w:rFonts w:ascii="Times New Roman" w:hAnsi="Times New Roman" w:cs="Times New Roman"/>
          <w:iCs/>
          <w:color w:val="000000" w:themeColor="text1"/>
          <w:kern w:val="24"/>
          <w:sz w:val="24"/>
          <w:szCs w:val="24"/>
        </w:rPr>
        <w:t>6</w:t>
      </w:r>
      <w:r w:rsidR="00B33A17" w:rsidRPr="00765010">
        <w:rPr>
          <w:rFonts w:ascii="Times New Roman" w:hAnsi="Times New Roman" w:cs="Times New Roman"/>
          <w:iCs/>
          <w:color w:val="000000" w:themeColor="text1"/>
          <w:kern w:val="24"/>
          <w:sz w:val="24"/>
          <w:szCs w:val="24"/>
        </w:rPr>
        <w:t>5</w:t>
      </w:r>
      <w:r w:rsidR="00E32C47" w:rsidRPr="00765010">
        <w:rPr>
          <w:rFonts w:ascii="Times New Roman" w:hAnsi="Times New Roman" w:cs="Times New Roman"/>
          <w:iCs/>
          <w:color w:val="000000" w:themeColor="text1"/>
          <w:kern w:val="24"/>
          <w:sz w:val="24"/>
          <w:szCs w:val="24"/>
        </w:rPr>
        <w:t xml:space="preserve"> </w:t>
      </w:r>
      <w:r w:rsidR="00F52EAA" w:rsidRPr="00765010">
        <w:rPr>
          <w:rFonts w:ascii="Times New Roman" w:hAnsi="Times New Roman" w:cs="Times New Roman"/>
          <w:iCs/>
          <w:color w:val="000000" w:themeColor="text1"/>
          <w:kern w:val="24"/>
          <w:sz w:val="24"/>
          <w:szCs w:val="24"/>
        </w:rPr>
        <w:t xml:space="preserve"> </w:t>
      </w:r>
      <w:r w:rsidR="00820F7E" w:rsidRPr="00765010">
        <w:rPr>
          <w:rFonts w:ascii="Times New Roman" w:hAnsi="Times New Roman" w:cs="Times New Roman"/>
          <w:iCs/>
          <w:color w:val="000000" w:themeColor="text1"/>
          <w:kern w:val="24"/>
          <w:sz w:val="24"/>
          <w:szCs w:val="24"/>
        </w:rPr>
        <w:t>pun</w:t>
      </w:r>
      <w:r w:rsidR="00877601" w:rsidRPr="00765010">
        <w:rPr>
          <w:rFonts w:ascii="Times New Roman" w:hAnsi="Times New Roman" w:cs="Times New Roman"/>
          <w:iCs/>
          <w:color w:val="000000" w:themeColor="text1"/>
          <w:kern w:val="24"/>
          <w:sz w:val="24"/>
          <w:szCs w:val="24"/>
        </w:rPr>
        <w:t>k</w:t>
      </w:r>
      <w:r w:rsidR="00756DE0" w:rsidRPr="00765010">
        <w:rPr>
          <w:rFonts w:ascii="Times New Roman" w:hAnsi="Times New Roman" w:cs="Times New Roman"/>
          <w:iCs/>
          <w:color w:val="000000" w:themeColor="text1"/>
          <w:kern w:val="24"/>
          <w:sz w:val="24"/>
          <w:szCs w:val="24"/>
        </w:rPr>
        <w:t xml:space="preserve">tów </w:t>
      </w:r>
      <w:r w:rsidR="00820F7E" w:rsidRPr="00765010">
        <w:rPr>
          <w:rFonts w:ascii="Times New Roman" w:hAnsi="Times New Roman" w:cs="Times New Roman"/>
          <w:color w:val="000000" w:themeColor="text1"/>
          <w:kern w:val="24"/>
          <w:sz w:val="24"/>
          <w:szCs w:val="24"/>
        </w:rPr>
        <w:t xml:space="preserve"> </w:t>
      </w:r>
      <w:r w:rsidR="00FA5425" w:rsidRPr="00765010">
        <w:rPr>
          <w:rFonts w:ascii="Times New Roman" w:hAnsi="Times New Roman" w:cs="Times New Roman"/>
          <w:color w:val="000000" w:themeColor="text1"/>
          <w:kern w:val="24"/>
          <w:sz w:val="24"/>
          <w:szCs w:val="24"/>
        </w:rPr>
        <w:t xml:space="preserve">co stanowi </w:t>
      </w:r>
      <w:r w:rsidR="00756DE0" w:rsidRPr="00765010">
        <w:rPr>
          <w:rFonts w:ascii="Times New Roman" w:hAnsi="Times New Roman" w:cs="Times New Roman"/>
          <w:color w:val="000000" w:themeColor="text1"/>
          <w:kern w:val="24"/>
          <w:sz w:val="24"/>
          <w:szCs w:val="24"/>
        </w:rPr>
        <w:t xml:space="preserve">około </w:t>
      </w:r>
      <w:r w:rsidR="00B33A17" w:rsidRPr="00765010">
        <w:rPr>
          <w:rFonts w:ascii="Times New Roman" w:hAnsi="Times New Roman" w:cs="Times New Roman"/>
          <w:color w:val="000000" w:themeColor="text1"/>
          <w:kern w:val="24"/>
          <w:sz w:val="24"/>
          <w:szCs w:val="24"/>
        </w:rPr>
        <w:t>93</w:t>
      </w:r>
      <w:r w:rsidR="00756DE0" w:rsidRPr="00765010">
        <w:rPr>
          <w:rFonts w:ascii="Times New Roman" w:hAnsi="Times New Roman" w:cs="Times New Roman"/>
          <w:color w:val="000000" w:themeColor="text1"/>
          <w:kern w:val="24"/>
          <w:sz w:val="24"/>
          <w:szCs w:val="24"/>
        </w:rPr>
        <w:t xml:space="preserve"> </w:t>
      </w:r>
      <w:r w:rsidR="00427456" w:rsidRPr="00765010">
        <w:rPr>
          <w:rFonts w:ascii="Times New Roman" w:hAnsi="Times New Roman" w:cs="Times New Roman"/>
          <w:color w:val="000000" w:themeColor="text1"/>
          <w:kern w:val="24"/>
          <w:sz w:val="24"/>
          <w:szCs w:val="24"/>
        </w:rPr>
        <w:t>%</w:t>
      </w:r>
      <w:r w:rsidR="00877601" w:rsidRPr="00765010">
        <w:rPr>
          <w:rFonts w:ascii="Times New Roman" w:hAnsi="Times New Roman" w:cs="Times New Roman"/>
          <w:color w:val="000000" w:themeColor="text1"/>
          <w:kern w:val="24"/>
          <w:sz w:val="24"/>
          <w:szCs w:val="24"/>
        </w:rPr>
        <w:t xml:space="preserve"> maksymalnej liczby punktów możliwej do uzyskania</w:t>
      </w:r>
      <w:r w:rsidR="00E86C80" w:rsidRPr="00765010">
        <w:rPr>
          <w:rFonts w:ascii="Times New Roman" w:hAnsi="Times New Roman" w:cs="Times New Roman"/>
          <w:color w:val="000000" w:themeColor="text1"/>
          <w:kern w:val="24"/>
          <w:sz w:val="24"/>
          <w:szCs w:val="24"/>
        </w:rPr>
        <w:t xml:space="preserve"> </w:t>
      </w:r>
      <w:r w:rsidR="00FA5425" w:rsidRPr="00765010">
        <w:rPr>
          <w:rFonts w:ascii="Times New Roman" w:hAnsi="Times New Roman" w:cs="Times New Roman"/>
          <w:color w:val="000000" w:themeColor="text1"/>
          <w:kern w:val="24"/>
          <w:sz w:val="24"/>
          <w:szCs w:val="24"/>
        </w:rPr>
        <w:t>( z 70 punktów)</w:t>
      </w:r>
      <w:r w:rsidR="00877601" w:rsidRPr="00765010">
        <w:rPr>
          <w:rFonts w:ascii="Times New Roman" w:hAnsi="Times New Roman" w:cs="Times New Roman"/>
          <w:color w:val="000000" w:themeColor="text1"/>
          <w:kern w:val="24"/>
          <w:sz w:val="24"/>
          <w:szCs w:val="24"/>
        </w:rPr>
        <w:t xml:space="preserve"> i</w:t>
      </w:r>
      <w:r w:rsidR="00AC1939" w:rsidRPr="00765010">
        <w:rPr>
          <w:rFonts w:ascii="Times New Roman" w:hAnsi="Times New Roman" w:cs="Times New Roman"/>
          <w:color w:val="000000" w:themeColor="text1"/>
          <w:kern w:val="24"/>
          <w:sz w:val="24"/>
          <w:szCs w:val="24"/>
        </w:rPr>
        <w:t xml:space="preserve"> o</w:t>
      </w:r>
      <w:r w:rsidR="00877601" w:rsidRPr="00765010">
        <w:rPr>
          <w:rFonts w:ascii="Times New Roman" w:hAnsi="Times New Roman" w:cs="Times New Roman"/>
          <w:color w:val="000000" w:themeColor="text1"/>
          <w:kern w:val="24"/>
          <w:sz w:val="24"/>
          <w:szCs w:val="24"/>
        </w:rPr>
        <w:t xml:space="preserve"> świadczy </w:t>
      </w:r>
      <w:r w:rsidR="00877601" w:rsidRPr="00765010">
        <w:rPr>
          <w:rFonts w:ascii="Times New Roman" w:hAnsi="Times New Roman" w:cs="Times New Roman"/>
          <w:iCs/>
          <w:color w:val="000000" w:themeColor="text1"/>
          <w:kern w:val="24"/>
          <w:sz w:val="24"/>
          <w:szCs w:val="24"/>
        </w:rPr>
        <w:t>stabilności ek</w:t>
      </w:r>
      <w:r w:rsidR="00FA5425" w:rsidRPr="00765010">
        <w:rPr>
          <w:rFonts w:ascii="Times New Roman" w:hAnsi="Times New Roman" w:cs="Times New Roman"/>
          <w:iCs/>
          <w:color w:val="000000" w:themeColor="text1"/>
          <w:kern w:val="24"/>
          <w:sz w:val="24"/>
          <w:szCs w:val="24"/>
        </w:rPr>
        <w:t>onomiczno-finansowej Samodzielnego Publicznego Zakładu Opieki Zdrowotnej w Sławkowie.</w:t>
      </w:r>
      <w:r w:rsidR="00B86BE7" w:rsidRPr="00765010">
        <w:rPr>
          <w:rFonts w:ascii="Times New Roman" w:hAnsi="Times New Roman" w:cs="Times New Roman"/>
          <w:iCs/>
          <w:color w:val="000000" w:themeColor="text1"/>
          <w:kern w:val="24"/>
          <w:sz w:val="24"/>
          <w:szCs w:val="24"/>
        </w:rPr>
        <w:t xml:space="preserve"> </w:t>
      </w:r>
    </w:p>
    <w:p w14:paraId="55E168A1" w14:textId="2B1962C7" w:rsidR="00D407BC" w:rsidRPr="00765010" w:rsidRDefault="00C31EA3" w:rsidP="009E33E0">
      <w:pPr>
        <w:ind w:left="284" w:firstLine="42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SPZOZ  Sławków mieści się w grupie podmiotów posiadających dobrą stabilność </w:t>
      </w:r>
      <w:r w:rsidR="009E33E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ekonomiczno-finansową.</w:t>
      </w:r>
    </w:p>
    <w:p w14:paraId="070F692D" w14:textId="77777777" w:rsidR="00454311" w:rsidRPr="00765010" w:rsidRDefault="00473888" w:rsidP="009E33E0">
      <w:pPr>
        <w:ind w:left="284" w:firstLine="420"/>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Otrzymane wyniki </w:t>
      </w:r>
      <w:r w:rsidR="005E1703" w:rsidRPr="00765010">
        <w:rPr>
          <w:rFonts w:ascii="Times New Roman" w:hAnsi="Times New Roman" w:cs="Times New Roman"/>
          <w:iCs/>
          <w:color w:val="000000" w:themeColor="text1"/>
          <w:kern w:val="24"/>
          <w:sz w:val="24"/>
          <w:szCs w:val="24"/>
        </w:rPr>
        <w:t xml:space="preserve">świadczą o utrzymaniu odpowiednich relacji pomiędzy przychodami a kosztami, co w konsekwencji </w:t>
      </w:r>
      <w:r w:rsidR="00D76790" w:rsidRPr="00765010">
        <w:rPr>
          <w:rFonts w:ascii="Times New Roman" w:hAnsi="Times New Roman" w:cs="Times New Roman"/>
          <w:iCs/>
          <w:color w:val="000000" w:themeColor="text1"/>
          <w:kern w:val="24"/>
          <w:sz w:val="24"/>
          <w:szCs w:val="24"/>
        </w:rPr>
        <w:t xml:space="preserve"> pozwala na generowanie dodatnich wyników finansowych. Wskaźniki płynności zarówno  bieżącej oraz szybkiej na poziomie 8,</w:t>
      </w:r>
      <w:r w:rsidR="00454311" w:rsidRPr="00765010">
        <w:rPr>
          <w:rFonts w:ascii="Times New Roman" w:hAnsi="Times New Roman" w:cs="Times New Roman"/>
          <w:iCs/>
          <w:color w:val="000000" w:themeColor="text1"/>
          <w:kern w:val="24"/>
          <w:sz w:val="24"/>
          <w:szCs w:val="24"/>
        </w:rPr>
        <w:t>53</w:t>
      </w:r>
      <w:r w:rsidR="00D76790" w:rsidRPr="00765010">
        <w:rPr>
          <w:rFonts w:ascii="Times New Roman" w:hAnsi="Times New Roman" w:cs="Times New Roman"/>
          <w:iCs/>
          <w:color w:val="000000" w:themeColor="text1"/>
          <w:kern w:val="24"/>
          <w:sz w:val="24"/>
          <w:szCs w:val="24"/>
        </w:rPr>
        <w:t xml:space="preserve"> wskazują na dużą zdolność SPZOZ do terminowego regulowania zobowiązań krótkoterminowych. </w:t>
      </w:r>
    </w:p>
    <w:p w14:paraId="4FAC813D" w14:textId="77777777" w:rsidR="00061ED6" w:rsidRDefault="00D76790" w:rsidP="009E33E0">
      <w:pPr>
        <w:ind w:left="284" w:firstLine="42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 xml:space="preserve">Osiągnięte wysokie wskaźniki płynności wskazują na fakt że zakład nie ma problemów z regulowaniem swoich zobowiązań. Wielkość wskaźnika ogólnego zadłużenia aktywów oznacza </w:t>
      </w:r>
      <w:r w:rsidR="00D051F8" w:rsidRPr="00765010">
        <w:rPr>
          <w:rFonts w:ascii="Times New Roman" w:hAnsi="Times New Roman" w:cs="Times New Roman"/>
          <w:iCs/>
          <w:color w:val="000000" w:themeColor="text1"/>
          <w:kern w:val="24"/>
          <w:sz w:val="24"/>
          <w:szCs w:val="24"/>
        </w:rPr>
        <w:t>ż</w:t>
      </w:r>
      <w:r w:rsidRPr="00765010">
        <w:rPr>
          <w:rFonts w:ascii="Times New Roman" w:hAnsi="Times New Roman" w:cs="Times New Roman"/>
          <w:iCs/>
          <w:color w:val="000000" w:themeColor="text1"/>
          <w:kern w:val="24"/>
          <w:sz w:val="24"/>
          <w:szCs w:val="24"/>
        </w:rPr>
        <w:t>e udział zobowiązań finansowych w majątku wynosił 10% co jest wartością optymalną</w:t>
      </w:r>
      <w:r w:rsidR="00D051F8" w:rsidRPr="00765010">
        <w:rPr>
          <w:rFonts w:ascii="Times New Roman" w:hAnsi="Times New Roman" w:cs="Times New Roman"/>
          <w:iCs/>
          <w:color w:val="000000" w:themeColor="text1"/>
          <w:kern w:val="24"/>
          <w:sz w:val="24"/>
          <w:szCs w:val="24"/>
        </w:rPr>
        <w:t>.</w:t>
      </w:r>
      <w:r w:rsidRPr="00765010">
        <w:rPr>
          <w:rFonts w:ascii="Times New Roman" w:hAnsi="Times New Roman" w:cs="Times New Roman"/>
          <w:iCs/>
          <w:color w:val="000000" w:themeColor="text1"/>
          <w:kern w:val="24"/>
          <w:sz w:val="24"/>
          <w:szCs w:val="24"/>
        </w:rPr>
        <w:t xml:space="preserve"> </w:t>
      </w:r>
    </w:p>
    <w:p w14:paraId="144E7B39" w14:textId="63ADEDBF" w:rsidR="00F36F50" w:rsidRPr="00765010" w:rsidRDefault="00D051F8" w:rsidP="00061ED6">
      <w:pPr>
        <w:ind w:left="284" w:firstLine="424"/>
        <w:jc w:val="both"/>
        <w:rPr>
          <w:rFonts w:ascii="Times New Roman" w:hAnsi="Times New Roman" w:cs="Times New Roman"/>
          <w:b/>
          <w:color w:val="000000" w:themeColor="text1"/>
          <w:kern w:val="24"/>
          <w:sz w:val="24"/>
          <w:szCs w:val="24"/>
          <w:u w:val="single"/>
        </w:rPr>
      </w:pPr>
      <w:r w:rsidRPr="00765010">
        <w:rPr>
          <w:rFonts w:ascii="Times New Roman" w:hAnsi="Times New Roman" w:cs="Times New Roman"/>
          <w:iCs/>
          <w:color w:val="000000" w:themeColor="text1"/>
          <w:kern w:val="24"/>
          <w:sz w:val="24"/>
          <w:szCs w:val="24"/>
        </w:rPr>
        <w:lastRenderedPageBreak/>
        <w:t>Ś</w:t>
      </w:r>
      <w:r w:rsidR="00D76790" w:rsidRPr="00765010">
        <w:rPr>
          <w:rFonts w:ascii="Times New Roman" w:hAnsi="Times New Roman" w:cs="Times New Roman"/>
          <w:iCs/>
          <w:color w:val="000000" w:themeColor="text1"/>
          <w:kern w:val="24"/>
          <w:sz w:val="24"/>
          <w:szCs w:val="24"/>
        </w:rPr>
        <w:t>wiadczy</w:t>
      </w:r>
      <w:r w:rsidRPr="00765010">
        <w:rPr>
          <w:rFonts w:ascii="Times New Roman" w:hAnsi="Times New Roman" w:cs="Times New Roman"/>
          <w:iCs/>
          <w:color w:val="000000" w:themeColor="text1"/>
          <w:kern w:val="24"/>
          <w:sz w:val="24"/>
          <w:szCs w:val="24"/>
        </w:rPr>
        <w:t xml:space="preserve"> o </w:t>
      </w:r>
      <w:r w:rsidR="00D76790" w:rsidRPr="00765010">
        <w:rPr>
          <w:rFonts w:ascii="Times New Roman" w:hAnsi="Times New Roman" w:cs="Times New Roman"/>
          <w:iCs/>
          <w:color w:val="000000" w:themeColor="text1"/>
          <w:kern w:val="24"/>
          <w:sz w:val="24"/>
          <w:szCs w:val="24"/>
        </w:rPr>
        <w:t xml:space="preserve"> sile finansowej zakładu. Wskaźnik zadłużenia funduszu własnego</w:t>
      </w:r>
      <w:r w:rsidR="00BA5B08" w:rsidRPr="00765010">
        <w:rPr>
          <w:rFonts w:ascii="Times New Roman" w:hAnsi="Times New Roman" w:cs="Times New Roman"/>
          <w:iCs/>
          <w:color w:val="000000" w:themeColor="text1"/>
          <w:kern w:val="24"/>
          <w:sz w:val="24"/>
          <w:szCs w:val="24"/>
        </w:rPr>
        <w:t xml:space="preserve"> </w:t>
      </w:r>
      <w:r w:rsidR="00D76790" w:rsidRPr="00765010">
        <w:rPr>
          <w:rFonts w:ascii="Times New Roman" w:hAnsi="Times New Roman" w:cs="Times New Roman"/>
          <w:iCs/>
          <w:color w:val="000000" w:themeColor="text1"/>
          <w:kern w:val="24"/>
          <w:sz w:val="24"/>
          <w:szCs w:val="24"/>
        </w:rPr>
        <w:t xml:space="preserve"> ( </w:t>
      </w:r>
      <w:r w:rsidR="00A402C4" w:rsidRPr="00765010">
        <w:rPr>
          <w:rFonts w:ascii="Times New Roman" w:hAnsi="Times New Roman" w:cs="Times New Roman"/>
          <w:iCs/>
          <w:color w:val="000000" w:themeColor="text1"/>
          <w:kern w:val="24"/>
          <w:sz w:val="24"/>
          <w:szCs w:val="24"/>
        </w:rPr>
        <w:t>wypłacalności</w:t>
      </w:r>
      <w:r w:rsidR="00D76790" w:rsidRPr="00765010">
        <w:rPr>
          <w:rFonts w:ascii="Times New Roman" w:hAnsi="Times New Roman" w:cs="Times New Roman"/>
          <w:iCs/>
          <w:color w:val="000000" w:themeColor="text1"/>
          <w:kern w:val="24"/>
          <w:sz w:val="24"/>
          <w:szCs w:val="24"/>
        </w:rPr>
        <w:t xml:space="preserve">) </w:t>
      </w:r>
      <w:r w:rsidR="00A402C4" w:rsidRPr="00765010">
        <w:rPr>
          <w:rFonts w:ascii="Times New Roman" w:hAnsi="Times New Roman" w:cs="Times New Roman"/>
          <w:iCs/>
          <w:color w:val="000000" w:themeColor="text1"/>
          <w:kern w:val="24"/>
          <w:sz w:val="24"/>
          <w:szCs w:val="24"/>
        </w:rPr>
        <w:t>wynosił 0,1</w:t>
      </w:r>
      <w:r w:rsidR="00B33398" w:rsidRPr="00765010">
        <w:rPr>
          <w:rFonts w:ascii="Times New Roman" w:hAnsi="Times New Roman" w:cs="Times New Roman"/>
          <w:iCs/>
          <w:color w:val="000000" w:themeColor="text1"/>
          <w:kern w:val="24"/>
          <w:sz w:val="24"/>
          <w:szCs w:val="24"/>
        </w:rPr>
        <w:t>2</w:t>
      </w:r>
      <w:r w:rsidR="00A402C4" w:rsidRPr="00765010">
        <w:rPr>
          <w:rFonts w:ascii="Times New Roman" w:hAnsi="Times New Roman" w:cs="Times New Roman"/>
          <w:iCs/>
          <w:color w:val="000000" w:themeColor="text1"/>
          <w:kern w:val="24"/>
          <w:sz w:val="24"/>
          <w:szCs w:val="24"/>
        </w:rPr>
        <w:t xml:space="preserve"> co oznacza, że zobowiązania ogółem są dużo mniejsze od funduszy własnych, co świadczy o niewielkim stopniu zadłużenia zakładu.</w:t>
      </w:r>
    </w:p>
    <w:p w14:paraId="3396DCA9" w14:textId="77777777" w:rsidR="00935745" w:rsidRPr="00765010" w:rsidRDefault="00935745" w:rsidP="00E86C80">
      <w:pPr>
        <w:ind w:left="284"/>
        <w:jc w:val="center"/>
        <w:rPr>
          <w:rFonts w:ascii="Times New Roman" w:hAnsi="Times New Roman" w:cs="Times New Roman"/>
          <w:b/>
          <w:color w:val="000000" w:themeColor="text1"/>
          <w:kern w:val="24"/>
          <w:sz w:val="24"/>
          <w:szCs w:val="24"/>
        </w:rPr>
      </w:pPr>
    </w:p>
    <w:p w14:paraId="4377D390" w14:textId="03DA5E4F" w:rsidR="001E1158" w:rsidRPr="00765010" w:rsidRDefault="00F36F50" w:rsidP="00A57A5B">
      <w:pPr>
        <w:ind w:left="284"/>
        <w:jc w:val="center"/>
        <w:rPr>
          <w:rFonts w:ascii="Times New Roman" w:hAnsi="Times New Roman" w:cs="Times New Roman"/>
          <w:b/>
          <w:color w:val="000000" w:themeColor="text1"/>
          <w:kern w:val="24"/>
          <w:sz w:val="24"/>
          <w:szCs w:val="24"/>
        </w:rPr>
      </w:pPr>
      <w:r>
        <w:rPr>
          <w:rFonts w:ascii="Times New Roman" w:hAnsi="Times New Roman" w:cs="Times New Roman"/>
          <w:b/>
          <w:color w:val="000000" w:themeColor="text1"/>
          <w:kern w:val="24"/>
          <w:sz w:val="24"/>
          <w:szCs w:val="24"/>
        </w:rPr>
        <w:t>I</w:t>
      </w:r>
      <w:r w:rsidR="001E1158" w:rsidRPr="00765010">
        <w:rPr>
          <w:rFonts w:ascii="Times New Roman" w:hAnsi="Times New Roman" w:cs="Times New Roman"/>
          <w:b/>
          <w:color w:val="000000" w:themeColor="text1"/>
          <w:kern w:val="24"/>
          <w:sz w:val="24"/>
          <w:szCs w:val="24"/>
        </w:rPr>
        <w:t xml:space="preserve">II. Prognoza sytuacji ekonomiczno-finansowej </w:t>
      </w:r>
      <w:r w:rsidR="00AD6B0E" w:rsidRPr="00765010">
        <w:rPr>
          <w:rFonts w:ascii="Times New Roman" w:hAnsi="Times New Roman" w:cs="Times New Roman"/>
          <w:b/>
          <w:color w:val="000000" w:themeColor="text1"/>
          <w:kern w:val="24"/>
          <w:sz w:val="24"/>
          <w:szCs w:val="24"/>
        </w:rPr>
        <w:t xml:space="preserve"> SPZOZ W Sławkowie </w:t>
      </w:r>
      <w:r w:rsidR="001E1158" w:rsidRPr="00765010">
        <w:rPr>
          <w:rFonts w:ascii="Times New Roman" w:hAnsi="Times New Roman" w:cs="Times New Roman"/>
          <w:b/>
          <w:color w:val="000000" w:themeColor="text1"/>
          <w:kern w:val="24"/>
          <w:sz w:val="24"/>
          <w:szCs w:val="24"/>
        </w:rPr>
        <w:t>na kolejne trzy lata obrotowe</w:t>
      </w:r>
      <w:r w:rsidR="00AD6B0E" w:rsidRPr="00765010">
        <w:rPr>
          <w:rFonts w:ascii="Times New Roman" w:hAnsi="Times New Roman" w:cs="Times New Roman"/>
          <w:b/>
          <w:color w:val="000000" w:themeColor="text1"/>
          <w:kern w:val="24"/>
          <w:sz w:val="24"/>
          <w:szCs w:val="24"/>
        </w:rPr>
        <w:t>:</w:t>
      </w:r>
      <w:r w:rsidR="00366143" w:rsidRPr="00765010">
        <w:rPr>
          <w:rFonts w:ascii="Times New Roman" w:hAnsi="Times New Roman" w:cs="Times New Roman"/>
          <w:b/>
          <w:color w:val="000000" w:themeColor="text1"/>
          <w:kern w:val="24"/>
          <w:sz w:val="24"/>
          <w:szCs w:val="24"/>
        </w:rPr>
        <w:t xml:space="preserve"> 202</w:t>
      </w:r>
      <w:r w:rsidR="00061279" w:rsidRPr="00765010">
        <w:rPr>
          <w:rFonts w:ascii="Times New Roman" w:hAnsi="Times New Roman" w:cs="Times New Roman"/>
          <w:b/>
          <w:color w:val="000000" w:themeColor="text1"/>
          <w:kern w:val="24"/>
          <w:sz w:val="24"/>
          <w:szCs w:val="24"/>
        </w:rPr>
        <w:t>4</w:t>
      </w:r>
      <w:r w:rsidR="00366143" w:rsidRPr="00765010">
        <w:rPr>
          <w:rFonts w:ascii="Times New Roman" w:hAnsi="Times New Roman" w:cs="Times New Roman"/>
          <w:b/>
          <w:color w:val="000000" w:themeColor="text1"/>
          <w:kern w:val="24"/>
          <w:sz w:val="24"/>
          <w:szCs w:val="24"/>
        </w:rPr>
        <w:t xml:space="preserve"> rok, 202</w:t>
      </w:r>
      <w:r w:rsidR="00061279" w:rsidRPr="00765010">
        <w:rPr>
          <w:rFonts w:ascii="Times New Roman" w:hAnsi="Times New Roman" w:cs="Times New Roman"/>
          <w:b/>
          <w:color w:val="000000" w:themeColor="text1"/>
          <w:kern w:val="24"/>
          <w:sz w:val="24"/>
          <w:szCs w:val="24"/>
        </w:rPr>
        <w:t>5</w:t>
      </w:r>
      <w:r w:rsidR="00366143" w:rsidRPr="00765010">
        <w:rPr>
          <w:rFonts w:ascii="Times New Roman" w:hAnsi="Times New Roman" w:cs="Times New Roman"/>
          <w:b/>
          <w:color w:val="000000" w:themeColor="text1"/>
          <w:kern w:val="24"/>
          <w:sz w:val="24"/>
          <w:szCs w:val="24"/>
        </w:rPr>
        <w:t xml:space="preserve"> rok</w:t>
      </w:r>
      <w:r w:rsidR="002547F5">
        <w:rPr>
          <w:rFonts w:ascii="Times New Roman" w:hAnsi="Times New Roman" w:cs="Times New Roman"/>
          <w:b/>
          <w:color w:val="000000" w:themeColor="text1"/>
          <w:kern w:val="24"/>
          <w:sz w:val="24"/>
          <w:szCs w:val="24"/>
        </w:rPr>
        <w:t>,</w:t>
      </w:r>
      <w:r w:rsidR="00C53A81" w:rsidRPr="00765010">
        <w:rPr>
          <w:rFonts w:ascii="Times New Roman" w:hAnsi="Times New Roman" w:cs="Times New Roman"/>
          <w:b/>
          <w:color w:val="000000" w:themeColor="text1"/>
          <w:kern w:val="24"/>
          <w:sz w:val="24"/>
          <w:szCs w:val="24"/>
        </w:rPr>
        <w:t xml:space="preserve"> 2026 rok </w:t>
      </w:r>
    </w:p>
    <w:p w14:paraId="66FC0471" w14:textId="77777777" w:rsidR="001E1158" w:rsidRPr="00765010" w:rsidRDefault="001E1158" w:rsidP="00A57A5B">
      <w:pPr>
        <w:ind w:left="284"/>
        <w:jc w:val="both"/>
        <w:rPr>
          <w:rFonts w:ascii="Times New Roman" w:hAnsi="Times New Roman" w:cs="Times New Roman"/>
          <w:color w:val="000000" w:themeColor="text1"/>
          <w:kern w:val="24"/>
          <w:sz w:val="24"/>
          <w:szCs w:val="24"/>
        </w:rPr>
      </w:pPr>
      <w:r w:rsidRPr="00765010">
        <w:rPr>
          <w:rFonts w:ascii="Times New Roman" w:hAnsi="Times New Roman" w:cs="Times New Roman"/>
          <w:b/>
          <w:color w:val="000000" w:themeColor="text1"/>
          <w:kern w:val="24"/>
          <w:sz w:val="24"/>
          <w:szCs w:val="24"/>
        </w:rPr>
        <w:t>Opis przyjętych założeń</w:t>
      </w:r>
      <w:r w:rsidRPr="00765010">
        <w:rPr>
          <w:rFonts w:ascii="Times New Roman" w:hAnsi="Times New Roman" w:cs="Times New Roman"/>
          <w:color w:val="000000" w:themeColor="text1"/>
          <w:kern w:val="24"/>
          <w:sz w:val="24"/>
          <w:szCs w:val="24"/>
        </w:rPr>
        <w:t>.</w:t>
      </w:r>
    </w:p>
    <w:p w14:paraId="13CC9F2B" w14:textId="25493800" w:rsidR="00C53A81" w:rsidRPr="00765010" w:rsidRDefault="001E1158" w:rsidP="009E33E0">
      <w:pPr>
        <w:ind w:left="284"/>
        <w:jc w:val="both"/>
        <w:rPr>
          <w:rFonts w:ascii="Times New Roman" w:hAnsi="Times New Roman" w:cs="Times New Roman"/>
          <w:bCs/>
          <w:sz w:val="24"/>
          <w:szCs w:val="24"/>
        </w:rPr>
      </w:pPr>
      <w:r w:rsidRPr="00765010">
        <w:rPr>
          <w:rFonts w:ascii="Times New Roman" w:hAnsi="Times New Roman" w:cs="Times New Roman"/>
          <w:sz w:val="24"/>
          <w:szCs w:val="24"/>
        </w:rPr>
        <w:tab/>
      </w:r>
      <w:r w:rsidR="00322364" w:rsidRPr="00765010">
        <w:rPr>
          <w:rFonts w:ascii="Times New Roman" w:hAnsi="Times New Roman" w:cs="Times New Roman"/>
          <w:sz w:val="24"/>
          <w:szCs w:val="24"/>
        </w:rPr>
        <w:t>Samodzielny Publiczny Zakład Opieki Z</w:t>
      </w:r>
      <w:r w:rsidRPr="00765010">
        <w:rPr>
          <w:rFonts w:ascii="Times New Roman" w:hAnsi="Times New Roman" w:cs="Times New Roman"/>
          <w:sz w:val="24"/>
          <w:szCs w:val="24"/>
        </w:rPr>
        <w:t xml:space="preserve">drowotnej </w:t>
      </w:r>
      <w:r w:rsidR="00322364" w:rsidRPr="00765010">
        <w:rPr>
          <w:rFonts w:ascii="Times New Roman" w:hAnsi="Times New Roman" w:cs="Times New Roman"/>
          <w:sz w:val="24"/>
          <w:szCs w:val="24"/>
        </w:rPr>
        <w:t xml:space="preserve">w Sławkowie </w:t>
      </w:r>
      <w:r w:rsidRPr="00765010">
        <w:rPr>
          <w:rFonts w:ascii="Times New Roman" w:hAnsi="Times New Roman" w:cs="Times New Roman"/>
          <w:sz w:val="24"/>
          <w:szCs w:val="24"/>
        </w:rPr>
        <w:t>prowadzi gospodarkę finansową na zasadach określonych w ustawie o działalności lecznic</w:t>
      </w:r>
      <w:r w:rsidR="003C7294" w:rsidRPr="00765010">
        <w:rPr>
          <w:rFonts w:ascii="Times New Roman" w:hAnsi="Times New Roman" w:cs="Times New Roman"/>
          <w:sz w:val="24"/>
          <w:szCs w:val="24"/>
        </w:rPr>
        <w:t>zej. Prognoza na okres 20</w:t>
      </w:r>
      <w:r w:rsidR="00366143" w:rsidRPr="00765010">
        <w:rPr>
          <w:rFonts w:ascii="Times New Roman" w:hAnsi="Times New Roman" w:cs="Times New Roman"/>
          <w:sz w:val="24"/>
          <w:szCs w:val="24"/>
        </w:rPr>
        <w:t>2</w:t>
      </w:r>
      <w:r w:rsidR="00C53A81" w:rsidRPr="00765010">
        <w:rPr>
          <w:rFonts w:ascii="Times New Roman" w:hAnsi="Times New Roman" w:cs="Times New Roman"/>
          <w:sz w:val="24"/>
          <w:szCs w:val="24"/>
        </w:rPr>
        <w:t>4</w:t>
      </w:r>
      <w:r w:rsidR="00366143" w:rsidRPr="00765010">
        <w:rPr>
          <w:rFonts w:ascii="Times New Roman" w:hAnsi="Times New Roman" w:cs="Times New Roman"/>
          <w:sz w:val="24"/>
          <w:szCs w:val="24"/>
        </w:rPr>
        <w:t xml:space="preserve"> rok, 202</w:t>
      </w:r>
      <w:r w:rsidR="00C53A81" w:rsidRPr="00765010">
        <w:rPr>
          <w:rFonts w:ascii="Times New Roman" w:hAnsi="Times New Roman" w:cs="Times New Roman"/>
          <w:sz w:val="24"/>
          <w:szCs w:val="24"/>
        </w:rPr>
        <w:t>5</w:t>
      </w:r>
      <w:r w:rsidR="00366143" w:rsidRPr="00765010">
        <w:rPr>
          <w:rFonts w:ascii="Times New Roman" w:hAnsi="Times New Roman" w:cs="Times New Roman"/>
          <w:sz w:val="24"/>
          <w:szCs w:val="24"/>
        </w:rPr>
        <w:t xml:space="preserve"> </w:t>
      </w:r>
      <w:r w:rsidR="003C7294" w:rsidRPr="00765010">
        <w:rPr>
          <w:rFonts w:ascii="Times New Roman" w:hAnsi="Times New Roman" w:cs="Times New Roman"/>
          <w:sz w:val="24"/>
          <w:szCs w:val="24"/>
        </w:rPr>
        <w:t>rok</w:t>
      </w:r>
      <w:r w:rsidR="00366143" w:rsidRPr="00765010">
        <w:rPr>
          <w:rFonts w:ascii="Times New Roman" w:hAnsi="Times New Roman" w:cs="Times New Roman"/>
          <w:sz w:val="24"/>
          <w:szCs w:val="24"/>
        </w:rPr>
        <w:t>, 202</w:t>
      </w:r>
      <w:r w:rsidR="00C53A81" w:rsidRPr="00765010">
        <w:rPr>
          <w:rFonts w:ascii="Times New Roman" w:hAnsi="Times New Roman" w:cs="Times New Roman"/>
          <w:sz w:val="24"/>
          <w:szCs w:val="24"/>
        </w:rPr>
        <w:t>6</w:t>
      </w:r>
      <w:r w:rsidR="009E33E0">
        <w:rPr>
          <w:rFonts w:ascii="Times New Roman" w:hAnsi="Times New Roman" w:cs="Times New Roman"/>
          <w:sz w:val="24"/>
          <w:szCs w:val="24"/>
        </w:rPr>
        <w:t xml:space="preserve"> rok</w:t>
      </w:r>
      <w:r w:rsidR="00366143" w:rsidRPr="00765010">
        <w:rPr>
          <w:rFonts w:ascii="Times New Roman" w:hAnsi="Times New Roman" w:cs="Times New Roman"/>
          <w:sz w:val="24"/>
          <w:szCs w:val="24"/>
        </w:rPr>
        <w:t xml:space="preserve"> </w:t>
      </w:r>
      <w:r w:rsidRPr="00765010">
        <w:rPr>
          <w:rFonts w:ascii="Times New Roman" w:hAnsi="Times New Roman" w:cs="Times New Roman"/>
          <w:sz w:val="24"/>
          <w:szCs w:val="24"/>
        </w:rPr>
        <w:t xml:space="preserve"> została opracowana zgodnie z  art.</w:t>
      </w:r>
      <w:r w:rsidR="00322364" w:rsidRPr="00765010">
        <w:rPr>
          <w:rFonts w:ascii="Times New Roman" w:hAnsi="Times New Roman" w:cs="Times New Roman"/>
          <w:bCs/>
          <w:sz w:val="24"/>
          <w:szCs w:val="24"/>
        </w:rPr>
        <w:t xml:space="preserve"> 53a</w:t>
      </w:r>
      <w:r w:rsidRPr="00765010">
        <w:rPr>
          <w:rFonts w:ascii="Times New Roman" w:hAnsi="Times New Roman" w:cs="Times New Roman"/>
          <w:bCs/>
          <w:sz w:val="24"/>
          <w:szCs w:val="24"/>
        </w:rPr>
        <w:t xml:space="preserve"> ust</w:t>
      </w:r>
      <w:r w:rsidR="003C7294" w:rsidRPr="00765010">
        <w:rPr>
          <w:rFonts w:ascii="Times New Roman" w:hAnsi="Times New Roman" w:cs="Times New Roman"/>
          <w:bCs/>
          <w:sz w:val="24"/>
          <w:szCs w:val="24"/>
        </w:rPr>
        <w:t xml:space="preserve">awy o działalności leczniczej. </w:t>
      </w:r>
    </w:p>
    <w:p w14:paraId="5381BA6B" w14:textId="39619351" w:rsidR="00975B60" w:rsidRPr="00765010" w:rsidRDefault="003C7294" w:rsidP="009E33E0">
      <w:pPr>
        <w:ind w:left="284" w:firstLine="424"/>
        <w:jc w:val="both"/>
        <w:rPr>
          <w:rFonts w:ascii="Times New Roman" w:hAnsi="Times New Roman" w:cs="Times New Roman"/>
          <w:sz w:val="24"/>
          <w:szCs w:val="24"/>
        </w:rPr>
      </w:pPr>
      <w:r w:rsidRPr="00765010">
        <w:rPr>
          <w:rFonts w:ascii="Times New Roman" w:hAnsi="Times New Roman" w:cs="Times New Roman"/>
          <w:bCs/>
          <w:sz w:val="24"/>
          <w:szCs w:val="24"/>
        </w:rPr>
        <w:t xml:space="preserve">Samodzielny Publiczny Zakład Opieki Zdrowotnej w Sławkowie  </w:t>
      </w:r>
      <w:r w:rsidR="001E1158" w:rsidRPr="00765010">
        <w:rPr>
          <w:rFonts w:ascii="Times New Roman" w:hAnsi="Times New Roman" w:cs="Times New Roman"/>
          <w:sz w:val="24"/>
          <w:szCs w:val="24"/>
        </w:rPr>
        <w:t xml:space="preserve">pokrywa    </w:t>
      </w:r>
      <w:r w:rsidR="00366143" w:rsidRPr="00765010">
        <w:rPr>
          <w:rFonts w:ascii="Times New Roman" w:hAnsi="Times New Roman" w:cs="Times New Roman"/>
          <w:sz w:val="24"/>
          <w:szCs w:val="24"/>
        </w:rPr>
        <w:t xml:space="preserve">z </w:t>
      </w:r>
      <w:r w:rsidR="001E1158" w:rsidRPr="00765010">
        <w:rPr>
          <w:rFonts w:ascii="Times New Roman" w:hAnsi="Times New Roman" w:cs="Times New Roman"/>
          <w:sz w:val="24"/>
          <w:szCs w:val="24"/>
        </w:rPr>
        <w:t xml:space="preserve">posiadanych środków </w:t>
      </w:r>
      <w:r w:rsidR="002547F5">
        <w:rPr>
          <w:rFonts w:ascii="Times New Roman" w:hAnsi="Times New Roman" w:cs="Times New Roman"/>
          <w:sz w:val="24"/>
          <w:szCs w:val="24"/>
        </w:rPr>
        <w:t xml:space="preserve">                      </w:t>
      </w:r>
      <w:r w:rsidR="001E1158" w:rsidRPr="00765010">
        <w:rPr>
          <w:rFonts w:ascii="Times New Roman" w:hAnsi="Times New Roman" w:cs="Times New Roman"/>
          <w:sz w:val="24"/>
          <w:szCs w:val="24"/>
        </w:rPr>
        <w:t>i uzyskiwanych przychodów koszty działalnośc</w:t>
      </w:r>
      <w:r w:rsidR="00E86C80" w:rsidRPr="00765010">
        <w:rPr>
          <w:rFonts w:ascii="Times New Roman" w:hAnsi="Times New Roman" w:cs="Times New Roman"/>
          <w:sz w:val="24"/>
          <w:szCs w:val="24"/>
        </w:rPr>
        <w:t xml:space="preserve">i i reguluje </w:t>
      </w:r>
      <w:r w:rsidR="009B657C" w:rsidRPr="00765010">
        <w:rPr>
          <w:rFonts w:ascii="Times New Roman" w:hAnsi="Times New Roman" w:cs="Times New Roman"/>
          <w:sz w:val="24"/>
          <w:szCs w:val="24"/>
        </w:rPr>
        <w:t>z</w:t>
      </w:r>
      <w:r w:rsidR="001E1158" w:rsidRPr="00765010">
        <w:rPr>
          <w:rFonts w:ascii="Times New Roman" w:hAnsi="Times New Roman" w:cs="Times New Roman"/>
          <w:sz w:val="24"/>
          <w:szCs w:val="24"/>
        </w:rPr>
        <w:t xml:space="preserve">obowiązania. </w:t>
      </w:r>
      <w:r w:rsidR="006655BD" w:rsidRPr="00765010">
        <w:rPr>
          <w:rFonts w:ascii="Times New Roman" w:hAnsi="Times New Roman" w:cs="Times New Roman"/>
          <w:sz w:val="24"/>
          <w:szCs w:val="24"/>
        </w:rPr>
        <w:br/>
      </w:r>
      <w:r w:rsidR="001E1158" w:rsidRPr="00765010">
        <w:rPr>
          <w:rFonts w:ascii="Times New Roman" w:hAnsi="Times New Roman" w:cs="Times New Roman"/>
          <w:sz w:val="24"/>
          <w:szCs w:val="24"/>
        </w:rPr>
        <w:t>W prognozach sytuacji ekonomiczno-finansowej  na kole</w:t>
      </w:r>
      <w:r w:rsidRPr="00765010">
        <w:rPr>
          <w:rFonts w:ascii="Times New Roman" w:hAnsi="Times New Roman" w:cs="Times New Roman"/>
          <w:sz w:val="24"/>
          <w:szCs w:val="24"/>
        </w:rPr>
        <w:t>jne trzy lata obrotowe założono utrzymanie</w:t>
      </w:r>
      <w:r w:rsidR="001E1158" w:rsidRPr="00765010">
        <w:rPr>
          <w:rFonts w:ascii="Times New Roman" w:hAnsi="Times New Roman" w:cs="Times New Roman"/>
          <w:sz w:val="24"/>
          <w:szCs w:val="24"/>
        </w:rPr>
        <w:t xml:space="preserve"> stabilności ekonomiczno-finansowej</w:t>
      </w:r>
      <w:r w:rsidRPr="00765010">
        <w:rPr>
          <w:rFonts w:ascii="Times New Roman" w:hAnsi="Times New Roman" w:cs="Times New Roman"/>
          <w:sz w:val="24"/>
          <w:szCs w:val="24"/>
        </w:rPr>
        <w:t>.</w:t>
      </w:r>
    </w:p>
    <w:p w14:paraId="05280851" w14:textId="4A144639" w:rsidR="00FD7278" w:rsidRPr="00765010" w:rsidRDefault="00FD7278" w:rsidP="00A57A5B">
      <w:pPr>
        <w:ind w:left="284"/>
        <w:jc w:val="both"/>
        <w:rPr>
          <w:rFonts w:ascii="Times New Roman" w:hAnsi="Times New Roman" w:cs="Times New Roman"/>
          <w:b/>
          <w:bCs/>
          <w:sz w:val="24"/>
          <w:szCs w:val="24"/>
        </w:rPr>
      </w:pPr>
      <w:r w:rsidRPr="00765010">
        <w:rPr>
          <w:rFonts w:ascii="Times New Roman" w:hAnsi="Times New Roman" w:cs="Times New Roman"/>
          <w:b/>
          <w:bCs/>
          <w:sz w:val="24"/>
          <w:szCs w:val="24"/>
        </w:rPr>
        <w:t>Uwzględniono w niej znaczące zdarzenia mające wpływ na wynik finansowy :</w:t>
      </w:r>
    </w:p>
    <w:p w14:paraId="06AABCE6" w14:textId="778A8273" w:rsidR="00DD7E6C" w:rsidRPr="00765010" w:rsidRDefault="001E1158" w:rsidP="002547F5">
      <w:pPr>
        <w:autoSpaceDE w:val="0"/>
        <w:autoSpaceDN w:val="0"/>
        <w:adjustRightInd w:val="0"/>
        <w:spacing w:after="0"/>
        <w:ind w:firstLine="284"/>
        <w:jc w:val="both"/>
        <w:rPr>
          <w:rStyle w:val="Uwydatnienie"/>
          <w:rFonts w:ascii="Times New Roman" w:hAnsi="Times New Roman" w:cs="Times New Roman"/>
          <w:sz w:val="24"/>
          <w:szCs w:val="24"/>
        </w:rPr>
      </w:pPr>
      <w:r w:rsidRPr="00765010">
        <w:rPr>
          <w:rFonts w:ascii="Times New Roman" w:hAnsi="Times New Roman" w:cs="Times New Roman"/>
          <w:sz w:val="24"/>
          <w:szCs w:val="24"/>
        </w:rPr>
        <w:t xml:space="preserve">W prognozach </w:t>
      </w:r>
      <w:r w:rsidR="00366143" w:rsidRPr="00765010">
        <w:rPr>
          <w:rFonts w:ascii="Times New Roman" w:hAnsi="Times New Roman" w:cs="Times New Roman"/>
          <w:sz w:val="24"/>
          <w:szCs w:val="24"/>
        </w:rPr>
        <w:t xml:space="preserve"> na 3 kolejne lata </w:t>
      </w:r>
      <w:r w:rsidRPr="00765010">
        <w:rPr>
          <w:rFonts w:ascii="Times New Roman" w:hAnsi="Times New Roman" w:cs="Times New Roman"/>
          <w:sz w:val="24"/>
          <w:szCs w:val="24"/>
        </w:rPr>
        <w:t>uwzględniono</w:t>
      </w:r>
      <w:r w:rsidR="003C7294" w:rsidRPr="00765010">
        <w:rPr>
          <w:rFonts w:ascii="Times New Roman" w:hAnsi="Times New Roman" w:cs="Times New Roman"/>
          <w:sz w:val="24"/>
          <w:szCs w:val="24"/>
        </w:rPr>
        <w:t xml:space="preserve"> </w:t>
      </w:r>
      <w:r w:rsidR="00366143" w:rsidRPr="00765010">
        <w:rPr>
          <w:rFonts w:ascii="Times New Roman" w:hAnsi="Times New Roman" w:cs="Times New Roman"/>
          <w:sz w:val="24"/>
          <w:szCs w:val="24"/>
        </w:rPr>
        <w:t xml:space="preserve">zobowiązanie pracodawcy wynikające z </w:t>
      </w:r>
      <w:r w:rsidR="00975B60" w:rsidRPr="00765010">
        <w:rPr>
          <w:rFonts w:ascii="Times New Roman" w:hAnsi="Times New Roman" w:cs="Times New Roman"/>
          <w:sz w:val="24"/>
          <w:szCs w:val="24"/>
        </w:rPr>
        <w:t xml:space="preserve"> regulacji</w:t>
      </w:r>
      <w:r w:rsidR="00DD7E6C" w:rsidRPr="00765010">
        <w:rPr>
          <w:rFonts w:ascii="Times New Roman" w:hAnsi="Times New Roman" w:cs="Times New Roman"/>
          <w:sz w:val="24"/>
          <w:szCs w:val="24"/>
        </w:rPr>
        <w:t xml:space="preserve"> Ustawy </w:t>
      </w:r>
      <w:r w:rsidR="00C53A81" w:rsidRPr="00765010">
        <w:rPr>
          <w:rFonts w:ascii="Times New Roman" w:hAnsi="Times New Roman" w:cs="Times New Roman"/>
          <w:sz w:val="24"/>
          <w:szCs w:val="24"/>
        </w:rPr>
        <w:t xml:space="preserve"> </w:t>
      </w:r>
      <w:r w:rsidR="00B40354" w:rsidRPr="00765010">
        <w:rPr>
          <w:rFonts w:ascii="Times New Roman" w:hAnsi="Times New Roman" w:cs="Times New Roman"/>
          <w:sz w:val="24"/>
          <w:szCs w:val="24"/>
        </w:rPr>
        <w:t>z dnia 8 czerwca 2017 roku</w:t>
      </w:r>
      <w:r w:rsidR="00994DFC">
        <w:rPr>
          <w:rFonts w:ascii="Times New Roman" w:hAnsi="Times New Roman" w:cs="Times New Roman"/>
          <w:sz w:val="24"/>
          <w:szCs w:val="24"/>
        </w:rPr>
        <w:t xml:space="preserve"> o sposobie ustalania najniższego wynagradzania zasadniczego niektórych pracowników zatrudnionych w podmiotach leczniczych.</w:t>
      </w:r>
      <w:r w:rsidR="00B40354" w:rsidRPr="00994DFC">
        <w:rPr>
          <w:rFonts w:ascii="Times New Roman" w:hAnsi="Times New Roman" w:cs="Times New Roman"/>
          <w:sz w:val="24"/>
          <w:szCs w:val="24"/>
        </w:rPr>
        <w:t> </w:t>
      </w:r>
      <w:r w:rsidR="00B40354" w:rsidRPr="00994DFC">
        <w:rPr>
          <w:rStyle w:val="Uwydatnienie"/>
          <w:rFonts w:ascii="Times New Roman" w:hAnsi="Times New Roman" w:cs="Times New Roman"/>
          <w:sz w:val="24"/>
          <w:szCs w:val="24"/>
        </w:rPr>
        <w:t>.</w:t>
      </w:r>
    </w:p>
    <w:p w14:paraId="706D1C8A" w14:textId="3EC78927" w:rsidR="00426D34" w:rsidRPr="00765010" w:rsidRDefault="004913C1" w:rsidP="002547F5">
      <w:pPr>
        <w:autoSpaceDE w:val="0"/>
        <w:autoSpaceDN w:val="0"/>
        <w:adjustRightInd w:val="0"/>
        <w:spacing w:after="0"/>
        <w:jc w:val="both"/>
        <w:rPr>
          <w:rFonts w:ascii="Times New Roman" w:hAnsi="Times New Roman" w:cs="Times New Roman"/>
          <w:sz w:val="24"/>
          <w:szCs w:val="24"/>
        </w:rPr>
      </w:pPr>
      <w:r w:rsidRPr="00F36F50">
        <w:rPr>
          <w:rFonts w:ascii="Times New Roman" w:hAnsi="Times New Roman" w:cs="Times New Roman"/>
          <w:color w:val="000000"/>
          <w:sz w:val="24"/>
          <w:szCs w:val="24"/>
        </w:rPr>
        <w:t>Corocznie na dzień 1 lipca podmiot leczniczy dokonuje podwyższenia wynagrodzenia zasadniczego pracowników wykonujących zawody medyczne i niemedyczne oraz pracowników działalności podstawowej,</w:t>
      </w:r>
      <w:r w:rsidRPr="00765010">
        <w:rPr>
          <w:rFonts w:ascii="Times New Roman" w:hAnsi="Times New Roman" w:cs="Times New Roman"/>
          <w:color w:val="000000"/>
          <w:sz w:val="24"/>
          <w:szCs w:val="24"/>
        </w:rPr>
        <w:t xml:space="preserve">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GUS. </w:t>
      </w:r>
    </w:p>
    <w:p w14:paraId="5BE87792" w14:textId="5778BA1C" w:rsidR="00314DAD" w:rsidRPr="00765010" w:rsidRDefault="00314DAD" w:rsidP="002547F5">
      <w:pPr>
        <w:ind w:firstLine="284"/>
        <w:jc w:val="both"/>
        <w:rPr>
          <w:rFonts w:ascii="Times New Roman" w:hAnsi="Times New Roman" w:cs="Times New Roman"/>
          <w:sz w:val="24"/>
          <w:szCs w:val="24"/>
        </w:rPr>
      </w:pPr>
      <w:r w:rsidRPr="00765010">
        <w:rPr>
          <w:rFonts w:ascii="Times New Roman" w:hAnsi="Times New Roman" w:cs="Times New Roman"/>
          <w:sz w:val="24"/>
          <w:szCs w:val="24"/>
        </w:rPr>
        <w:t>Wzrost wynagrodzeń pracowników medycznych w 202</w:t>
      </w:r>
      <w:r w:rsidR="004913C1" w:rsidRPr="00765010">
        <w:rPr>
          <w:rFonts w:ascii="Times New Roman" w:hAnsi="Times New Roman" w:cs="Times New Roman"/>
          <w:sz w:val="24"/>
          <w:szCs w:val="24"/>
        </w:rPr>
        <w:t xml:space="preserve">4 </w:t>
      </w:r>
      <w:r w:rsidR="00BA5B08" w:rsidRPr="00765010">
        <w:rPr>
          <w:rFonts w:ascii="Times New Roman" w:hAnsi="Times New Roman" w:cs="Times New Roman"/>
          <w:sz w:val="24"/>
          <w:szCs w:val="24"/>
        </w:rPr>
        <w:t xml:space="preserve"> </w:t>
      </w:r>
      <w:r w:rsidRPr="00765010">
        <w:rPr>
          <w:rFonts w:ascii="Times New Roman" w:hAnsi="Times New Roman" w:cs="Times New Roman"/>
          <w:sz w:val="24"/>
          <w:szCs w:val="24"/>
        </w:rPr>
        <w:t>roku</w:t>
      </w:r>
      <w:r w:rsidR="004913C1" w:rsidRPr="00765010">
        <w:rPr>
          <w:rFonts w:ascii="Times New Roman" w:hAnsi="Times New Roman" w:cs="Times New Roman"/>
          <w:sz w:val="24"/>
          <w:szCs w:val="24"/>
        </w:rPr>
        <w:t xml:space="preserve"> jak również w latach 2024</w:t>
      </w:r>
      <w:r w:rsidR="002547F5">
        <w:rPr>
          <w:rFonts w:ascii="Times New Roman" w:hAnsi="Times New Roman" w:cs="Times New Roman"/>
          <w:sz w:val="24"/>
          <w:szCs w:val="24"/>
        </w:rPr>
        <w:t xml:space="preserve"> r.</w:t>
      </w:r>
      <w:r w:rsidR="004913C1" w:rsidRPr="00765010">
        <w:rPr>
          <w:rFonts w:ascii="Times New Roman" w:hAnsi="Times New Roman" w:cs="Times New Roman"/>
          <w:sz w:val="24"/>
          <w:szCs w:val="24"/>
        </w:rPr>
        <w:t>,</w:t>
      </w:r>
      <w:r w:rsidR="002547F5">
        <w:rPr>
          <w:rFonts w:ascii="Times New Roman" w:hAnsi="Times New Roman" w:cs="Times New Roman"/>
          <w:sz w:val="24"/>
          <w:szCs w:val="24"/>
        </w:rPr>
        <w:t xml:space="preserve"> </w:t>
      </w:r>
      <w:r w:rsidR="004913C1" w:rsidRPr="00765010">
        <w:rPr>
          <w:rFonts w:ascii="Times New Roman" w:hAnsi="Times New Roman" w:cs="Times New Roman"/>
          <w:sz w:val="24"/>
          <w:szCs w:val="24"/>
        </w:rPr>
        <w:t>2025</w:t>
      </w:r>
      <w:r w:rsidR="002547F5">
        <w:rPr>
          <w:rFonts w:ascii="Times New Roman" w:hAnsi="Times New Roman" w:cs="Times New Roman"/>
          <w:sz w:val="24"/>
          <w:szCs w:val="24"/>
        </w:rPr>
        <w:t xml:space="preserve"> r.</w:t>
      </w:r>
      <w:r w:rsidR="004913C1" w:rsidRPr="00765010">
        <w:rPr>
          <w:rFonts w:ascii="Times New Roman" w:hAnsi="Times New Roman" w:cs="Times New Roman"/>
          <w:sz w:val="24"/>
          <w:szCs w:val="24"/>
        </w:rPr>
        <w:t>,</w:t>
      </w:r>
      <w:r w:rsidR="002547F5">
        <w:rPr>
          <w:rFonts w:ascii="Times New Roman" w:hAnsi="Times New Roman" w:cs="Times New Roman"/>
          <w:sz w:val="24"/>
          <w:szCs w:val="24"/>
        </w:rPr>
        <w:t xml:space="preserve">                      </w:t>
      </w:r>
      <w:r w:rsidR="004913C1" w:rsidRPr="00765010">
        <w:rPr>
          <w:rFonts w:ascii="Times New Roman" w:hAnsi="Times New Roman" w:cs="Times New Roman"/>
          <w:sz w:val="24"/>
          <w:szCs w:val="24"/>
        </w:rPr>
        <w:t>2026</w:t>
      </w:r>
      <w:r w:rsidR="002547F5">
        <w:rPr>
          <w:rFonts w:ascii="Times New Roman" w:hAnsi="Times New Roman" w:cs="Times New Roman"/>
          <w:sz w:val="24"/>
          <w:szCs w:val="24"/>
        </w:rPr>
        <w:t xml:space="preserve"> </w:t>
      </w:r>
      <w:r w:rsidR="004913C1" w:rsidRPr="00765010">
        <w:rPr>
          <w:rFonts w:ascii="Times New Roman" w:hAnsi="Times New Roman" w:cs="Times New Roman"/>
          <w:sz w:val="24"/>
          <w:szCs w:val="24"/>
        </w:rPr>
        <w:t>r</w:t>
      </w:r>
      <w:r w:rsidR="002547F5">
        <w:rPr>
          <w:rFonts w:ascii="Times New Roman" w:hAnsi="Times New Roman" w:cs="Times New Roman"/>
          <w:sz w:val="24"/>
          <w:szCs w:val="24"/>
        </w:rPr>
        <w:t>.</w:t>
      </w:r>
      <w:r w:rsidRPr="00765010">
        <w:rPr>
          <w:rFonts w:ascii="Times New Roman" w:hAnsi="Times New Roman" w:cs="Times New Roman"/>
          <w:sz w:val="24"/>
          <w:szCs w:val="24"/>
        </w:rPr>
        <w:t xml:space="preserve"> odbędzie się prawdopodobnie bez zmiany ustawy o najniższych wynagrodzeniach w podmiotach leczniczych, na skutek działania obowiązującego mechanizmu, który wiąże wysokości wynagrodzenia </w:t>
      </w:r>
      <w:r w:rsidR="002547F5">
        <w:rPr>
          <w:rFonts w:ascii="Times New Roman" w:hAnsi="Times New Roman" w:cs="Times New Roman"/>
          <w:sz w:val="24"/>
          <w:szCs w:val="24"/>
        </w:rPr>
        <w:t xml:space="preserve">                   </w:t>
      </w:r>
      <w:r w:rsidRPr="00765010">
        <w:rPr>
          <w:rFonts w:ascii="Times New Roman" w:hAnsi="Times New Roman" w:cs="Times New Roman"/>
          <w:sz w:val="24"/>
          <w:szCs w:val="24"/>
        </w:rPr>
        <w:t>z wysokością przeciętnego miesięcznego wynagrodzenia brutto w gospodarce narodowej w roku poprzedzającym.</w:t>
      </w:r>
    </w:p>
    <w:p w14:paraId="5BC9474C" w14:textId="359C8E18" w:rsidR="004913C1" w:rsidRPr="00765010" w:rsidRDefault="00314DAD" w:rsidP="009E33E0">
      <w:pPr>
        <w:ind w:firstLine="708"/>
        <w:jc w:val="both"/>
        <w:rPr>
          <w:rFonts w:ascii="Times New Roman" w:hAnsi="Times New Roman" w:cs="Times New Roman"/>
          <w:sz w:val="24"/>
          <w:szCs w:val="24"/>
        </w:rPr>
      </w:pPr>
      <w:r w:rsidRPr="00765010">
        <w:rPr>
          <w:rFonts w:ascii="Times New Roman" w:hAnsi="Times New Roman" w:cs="Times New Roman"/>
          <w:sz w:val="24"/>
          <w:szCs w:val="24"/>
        </w:rPr>
        <w:t>Przeciętne miesięczne wynagrodzenie brutto w gospodarce narodowej w Polsce w 202</w:t>
      </w:r>
      <w:r w:rsidR="004913C1" w:rsidRPr="00765010">
        <w:rPr>
          <w:rFonts w:ascii="Times New Roman" w:hAnsi="Times New Roman" w:cs="Times New Roman"/>
          <w:sz w:val="24"/>
          <w:szCs w:val="24"/>
        </w:rPr>
        <w:t>3</w:t>
      </w:r>
      <w:r w:rsidR="002547F5">
        <w:rPr>
          <w:rFonts w:ascii="Times New Roman" w:hAnsi="Times New Roman" w:cs="Times New Roman"/>
          <w:sz w:val="24"/>
          <w:szCs w:val="24"/>
        </w:rPr>
        <w:t xml:space="preserve"> </w:t>
      </w:r>
      <w:r w:rsidRPr="00765010">
        <w:rPr>
          <w:rFonts w:ascii="Times New Roman" w:hAnsi="Times New Roman" w:cs="Times New Roman"/>
          <w:sz w:val="24"/>
          <w:szCs w:val="24"/>
        </w:rPr>
        <w:t>r</w:t>
      </w:r>
      <w:r w:rsidR="002547F5">
        <w:rPr>
          <w:rFonts w:ascii="Times New Roman" w:hAnsi="Times New Roman" w:cs="Times New Roman"/>
          <w:sz w:val="24"/>
          <w:szCs w:val="24"/>
        </w:rPr>
        <w:t>.</w:t>
      </w:r>
      <w:r w:rsidRPr="00765010">
        <w:rPr>
          <w:rFonts w:ascii="Times New Roman" w:hAnsi="Times New Roman" w:cs="Times New Roman"/>
          <w:sz w:val="24"/>
          <w:szCs w:val="24"/>
        </w:rPr>
        <w:t xml:space="preserve"> wyniosło</w:t>
      </w:r>
    </w:p>
    <w:p w14:paraId="4AC94741" w14:textId="2E235E9A" w:rsidR="00314DAD" w:rsidRPr="00765010" w:rsidRDefault="004913C1" w:rsidP="002547F5">
      <w:pPr>
        <w:ind w:left="284"/>
        <w:jc w:val="both"/>
        <w:rPr>
          <w:rFonts w:ascii="Times New Roman" w:hAnsi="Times New Roman" w:cs="Times New Roman"/>
          <w:sz w:val="24"/>
          <w:szCs w:val="24"/>
        </w:rPr>
      </w:pPr>
      <w:r w:rsidRPr="00765010">
        <w:rPr>
          <w:rFonts w:ascii="Times New Roman" w:hAnsi="Times New Roman" w:cs="Times New Roman"/>
          <w:sz w:val="24"/>
          <w:szCs w:val="24"/>
        </w:rPr>
        <w:t>7 155,48</w:t>
      </w:r>
      <w:r w:rsidR="00314DAD" w:rsidRPr="00765010">
        <w:rPr>
          <w:rFonts w:ascii="Times New Roman" w:hAnsi="Times New Roman" w:cs="Times New Roman"/>
          <w:sz w:val="24"/>
          <w:szCs w:val="24"/>
        </w:rPr>
        <w:t xml:space="preserve">zł i będzie ono stanowiło podstawę do ustalenia płacy zasadniczej pracownikom </w:t>
      </w:r>
      <w:r w:rsidRPr="00765010">
        <w:rPr>
          <w:rFonts w:ascii="Times New Roman" w:hAnsi="Times New Roman" w:cs="Times New Roman"/>
          <w:sz w:val="24"/>
          <w:szCs w:val="24"/>
        </w:rPr>
        <w:t>SPZOZ Sławków</w:t>
      </w:r>
      <w:r w:rsidR="0092067D">
        <w:rPr>
          <w:rFonts w:ascii="Times New Roman" w:hAnsi="Times New Roman" w:cs="Times New Roman"/>
          <w:sz w:val="24"/>
          <w:szCs w:val="24"/>
        </w:rPr>
        <w:t>.</w:t>
      </w:r>
    </w:p>
    <w:p w14:paraId="4921B5E0" w14:textId="082AA07C" w:rsidR="00322364" w:rsidRPr="00765010" w:rsidRDefault="00426D34" w:rsidP="009E33E0">
      <w:pPr>
        <w:autoSpaceDE w:val="0"/>
        <w:autoSpaceDN w:val="0"/>
        <w:adjustRightInd w:val="0"/>
        <w:spacing w:after="0"/>
        <w:ind w:firstLine="708"/>
        <w:jc w:val="both"/>
        <w:rPr>
          <w:rStyle w:val="Uwydatnienie"/>
          <w:rFonts w:ascii="Times New Roman" w:hAnsi="Times New Roman" w:cs="Times New Roman"/>
          <w:sz w:val="24"/>
          <w:szCs w:val="24"/>
        </w:rPr>
      </w:pPr>
      <w:r w:rsidRPr="00765010">
        <w:rPr>
          <w:rFonts w:ascii="Times New Roman" w:hAnsi="Times New Roman" w:cs="Times New Roman"/>
          <w:sz w:val="24"/>
          <w:szCs w:val="24"/>
        </w:rPr>
        <w:t>Dokonując prognozy wynagrodzeń</w:t>
      </w:r>
      <w:r w:rsidR="004913C1" w:rsidRPr="00765010">
        <w:rPr>
          <w:rFonts w:ascii="Times New Roman" w:hAnsi="Times New Roman" w:cs="Times New Roman"/>
          <w:sz w:val="24"/>
          <w:szCs w:val="24"/>
        </w:rPr>
        <w:t xml:space="preserve"> pracowników </w:t>
      </w:r>
      <w:r w:rsidR="00314DAD" w:rsidRPr="00765010">
        <w:rPr>
          <w:rFonts w:ascii="Times New Roman" w:hAnsi="Times New Roman" w:cs="Times New Roman"/>
          <w:sz w:val="24"/>
          <w:szCs w:val="24"/>
        </w:rPr>
        <w:t xml:space="preserve"> na okres od 01.07.202</w:t>
      </w:r>
      <w:r w:rsidR="004913C1" w:rsidRPr="00765010">
        <w:rPr>
          <w:rFonts w:ascii="Times New Roman" w:hAnsi="Times New Roman" w:cs="Times New Roman"/>
          <w:sz w:val="24"/>
          <w:szCs w:val="24"/>
        </w:rPr>
        <w:t>4</w:t>
      </w:r>
      <w:r w:rsidR="002547F5">
        <w:rPr>
          <w:rFonts w:ascii="Times New Roman" w:hAnsi="Times New Roman" w:cs="Times New Roman"/>
          <w:sz w:val="24"/>
          <w:szCs w:val="24"/>
        </w:rPr>
        <w:t xml:space="preserve"> </w:t>
      </w:r>
      <w:r w:rsidR="00314DAD" w:rsidRPr="00765010">
        <w:rPr>
          <w:rFonts w:ascii="Times New Roman" w:hAnsi="Times New Roman" w:cs="Times New Roman"/>
          <w:sz w:val="24"/>
          <w:szCs w:val="24"/>
        </w:rPr>
        <w:t>r</w:t>
      </w:r>
      <w:r w:rsidR="002547F5">
        <w:rPr>
          <w:rFonts w:ascii="Times New Roman" w:hAnsi="Times New Roman" w:cs="Times New Roman"/>
          <w:sz w:val="24"/>
          <w:szCs w:val="24"/>
        </w:rPr>
        <w:t xml:space="preserve">. </w:t>
      </w:r>
      <w:r w:rsidR="00314DAD" w:rsidRPr="00765010">
        <w:rPr>
          <w:rFonts w:ascii="Times New Roman" w:hAnsi="Times New Roman" w:cs="Times New Roman"/>
          <w:sz w:val="24"/>
          <w:szCs w:val="24"/>
        </w:rPr>
        <w:t>-31.12.202</w:t>
      </w:r>
      <w:r w:rsidR="004913C1" w:rsidRPr="00765010">
        <w:rPr>
          <w:rFonts w:ascii="Times New Roman" w:hAnsi="Times New Roman" w:cs="Times New Roman"/>
          <w:sz w:val="24"/>
          <w:szCs w:val="24"/>
        </w:rPr>
        <w:t>4</w:t>
      </w:r>
      <w:r w:rsidR="002547F5">
        <w:rPr>
          <w:rFonts w:ascii="Times New Roman" w:hAnsi="Times New Roman" w:cs="Times New Roman"/>
          <w:sz w:val="24"/>
          <w:szCs w:val="24"/>
        </w:rPr>
        <w:t xml:space="preserve"> </w:t>
      </w:r>
      <w:r w:rsidR="00314DAD" w:rsidRPr="00765010">
        <w:rPr>
          <w:rFonts w:ascii="Times New Roman" w:hAnsi="Times New Roman" w:cs="Times New Roman"/>
          <w:sz w:val="24"/>
          <w:szCs w:val="24"/>
        </w:rPr>
        <w:t>r</w:t>
      </w:r>
      <w:r w:rsidR="002547F5">
        <w:rPr>
          <w:rFonts w:ascii="Times New Roman" w:hAnsi="Times New Roman" w:cs="Times New Roman"/>
          <w:sz w:val="24"/>
          <w:szCs w:val="24"/>
        </w:rPr>
        <w:t>.</w:t>
      </w:r>
      <w:r w:rsidR="00314DAD" w:rsidRPr="00765010">
        <w:rPr>
          <w:rFonts w:ascii="Times New Roman" w:hAnsi="Times New Roman" w:cs="Times New Roman"/>
          <w:sz w:val="24"/>
          <w:szCs w:val="24"/>
        </w:rPr>
        <w:t xml:space="preserve"> oraz na lata </w:t>
      </w:r>
      <w:r w:rsidR="002547F5">
        <w:rPr>
          <w:rFonts w:ascii="Times New Roman" w:hAnsi="Times New Roman" w:cs="Times New Roman"/>
          <w:sz w:val="24"/>
          <w:szCs w:val="24"/>
        </w:rPr>
        <w:t xml:space="preserve">                </w:t>
      </w:r>
      <w:r w:rsidR="00314DAD" w:rsidRPr="00765010">
        <w:rPr>
          <w:rFonts w:ascii="Times New Roman" w:hAnsi="Times New Roman" w:cs="Times New Roman"/>
          <w:sz w:val="24"/>
          <w:szCs w:val="24"/>
        </w:rPr>
        <w:t>202</w:t>
      </w:r>
      <w:r w:rsidR="004913C1" w:rsidRPr="00765010">
        <w:rPr>
          <w:rFonts w:ascii="Times New Roman" w:hAnsi="Times New Roman" w:cs="Times New Roman"/>
          <w:sz w:val="24"/>
          <w:szCs w:val="24"/>
        </w:rPr>
        <w:t>5</w:t>
      </w:r>
      <w:r w:rsidR="002547F5">
        <w:rPr>
          <w:rFonts w:ascii="Times New Roman" w:hAnsi="Times New Roman" w:cs="Times New Roman"/>
          <w:sz w:val="24"/>
          <w:szCs w:val="24"/>
        </w:rPr>
        <w:t xml:space="preserve"> r. </w:t>
      </w:r>
      <w:r w:rsidR="00314DAD" w:rsidRPr="00765010">
        <w:rPr>
          <w:rFonts w:ascii="Times New Roman" w:hAnsi="Times New Roman" w:cs="Times New Roman"/>
          <w:sz w:val="24"/>
          <w:szCs w:val="24"/>
        </w:rPr>
        <w:t>i 202</w:t>
      </w:r>
      <w:r w:rsidR="004913C1" w:rsidRPr="00765010">
        <w:rPr>
          <w:rFonts w:ascii="Times New Roman" w:hAnsi="Times New Roman" w:cs="Times New Roman"/>
          <w:sz w:val="24"/>
          <w:szCs w:val="24"/>
        </w:rPr>
        <w:t>6</w:t>
      </w:r>
      <w:r w:rsidR="002547F5">
        <w:rPr>
          <w:rFonts w:ascii="Times New Roman" w:hAnsi="Times New Roman" w:cs="Times New Roman"/>
          <w:sz w:val="24"/>
          <w:szCs w:val="24"/>
        </w:rPr>
        <w:t xml:space="preserve"> r.</w:t>
      </w:r>
      <w:r w:rsidR="00314DAD" w:rsidRPr="00765010">
        <w:rPr>
          <w:rFonts w:ascii="Times New Roman" w:hAnsi="Times New Roman" w:cs="Times New Roman"/>
          <w:sz w:val="24"/>
          <w:szCs w:val="24"/>
        </w:rPr>
        <w:t>,</w:t>
      </w:r>
      <w:r w:rsidRPr="00765010">
        <w:rPr>
          <w:rFonts w:ascii="Times New Roman" w:hAnsi="Times New Roman" w:cs="Times New Roman"/>
          <w:sz w:val="24"/>
          <w:szCs w:val="24"/>
        </w:rPr>
        <w:t xml:space="preserve"> uwzględniono</w:t>
      </w:r>
      <w:r w:rsidR="00314DAD" w:rsidRPr="00765010">
        <w:rPr>
          <w:rFonts w:ascii="Times New Roman" w:hAnsi="Times New Roman" w:cs="Times New Roman"/>
          <w:sz w:val="24"/>
          <w:szCs w:val="24"/>
        </w:rPr>
        <w:t xml:space="preserve"> wyżej wymienione wynagrodzenie</w:t>
      </w:r>
      <w:r w:rsidR="00DD7E6C" w:rsidRPr="00765010">
        <w:rPr>
          <w:rFonts w:ascii="Times New Roman" w:hAnsi="Times New Roman" w:cs="Times New Roman"/>
          <w:sz w:val="24"/>
          <w:szCs w:val="24"/>
        </w:rPr>
        <w:t xml:space="preserve"> brutto </w:t>
      </w:r>
      <w:r w:rsidR="00314DAD" w:rsidRPr="00765010">
        <w:rPr>
          <w:rFonts w:ascii="Times New Roman" w:hAnsi="Times New Roman" w:cs="Times New Roman"/>
          <w:sz w:val="24"/>
          <w:szCs w:val="24"/>
        </w:rPr>
        <w:t xml:space="preserve"> oraz obowiązujące współczynniki pracy</w:t>
      </w:r>
      <w:r w:rsidR="0090158A" w:rsidRPr="00765010">
        <w:rPr>
          <w:rFonts w:ascii="Times New Roman" w:hAnsi="Times New Roman" w:cs="Times New Roman"/>
          <w:sz w:val="24"/>
          <w:szCs w:val="24"/>
        </w:rPr>
        <w:t xml:space="preserve"> </w:t>
      </w:r>
      <w:r w:rsidR="0090158A" w:rsidRPr="00765010">
        <w:rPr>
          <w:rFonts w:ascii="Times New Roman" w:hAnsi="Times New Roman" w:cs="Times New Roman"/>
          <w:b/>
          <w:bCs/>
          <w:sz w:val="24"/>
          <w:szCs w:val="24"/>
        </w:rPr>
        <w:t xml:space="preserve"> </w:t>
      </w:r>
      <w:r w:rsidR="004913C1" w:rsidRPr="00765010">
        <w:rPr>
          <w:rFonts w:ascii="Times New Roman" w:hAnsi="Times New Roman" w:cs="Times New Roman"/>
          <w:b/>
          <w:bCs/>
          <w:sz w:val="24"/>
          <w:szCs w:val="24"/>
        </w:rPr>
        <w:t>(</w:t>
      </w:r>
      <w:r w:rsidR="004913C1" w:rsidRPr="00765010">
        <w:rPr>
          <w:rFonts w:ascii="Times New Roman" w:hAnsi="Times New Roman" w:cs="Times New Roman"/>
          <w:sz w:val="24"/>
          <w:szCs w:val="24"/>
        </w:rPr>
        <w:t>Ustawa  z dnia 8 czerwca 2017 roku </w:t>
      </w:r>
      <w:r w:rsidR="004913C1" w:rsidRPr="00765010">
        <w:rPr>
          <w:rStyle w:val="Uwydatnienie"/>
          <w:rFonts w:ascii="Times New Roman" w:hAnsi="Times New Roman" w:cs="Times New Roman"/>
          <w:sz w:val="24"/>
          <w:szCs w:val="24"/>
        </w:rPr>
        <w:t>o sposobie ustalania najniższego wynagrodzenia zasadniczego niektórych pracowników zatrudnionych w podmiotach leczniczych.)</w:t>
      </w:r>
    </w:p>
    <w:p w14:paraId="4A911C06" w14:textId="5062CD64" w:rsidR="00BB1AD6" w:rsidRPr="00765010" w:rsidRDefault="00BB1AD6" w:rsidP="002547F5">
      <w:pPr>
        <w:autoSpaceDE w:val="0"/>
        <w:autoSpaceDN w:val="0"/>
        <w:adjustRightInd w:val="0"/>
        <w:spacing w:after="0"/>
        <w:jc w:val="both"/>
        <w:rPr>
          <w:rStyle w:val="Uwydatnienie"/>
          <w:rFonts w:ascii="Times New Roman" w:hAnsi="Times New Roman" w:cs="Times New Roman"/>
          <w:i w:val="0"/>
          <w:iCs w:val="0"/>
          <w:sz w:val="24"/>
          <w:szCs w:val="24"/>
        </w:rPr>
      </w:pPr>
      <w:r w:rsidRPr="00765010">
        <w:rPr>
          <w:rStyle w:val="Uwydatnienie"/>
          <w:rFonts w:ascii="Times New Roman" w:hAnsi="Times New Roman" w:cs="Times New Roman"/>
          <w:i w:val="0"/>
          <w:iCs w:val="0"/>
          <w:sz w:val="24"/>
          <w:szCs w:val="24"/>
        </w:rPr>
        <w:t>W prognozach na rok 2024r oraz 3 kolejne lata zaplanowano nagrody jubileuszowe dla pracowników.</w:t>
      </w:r>
    </w:p>
    <w:p w14:paraId="16254A36" w14:textId="3E3949C7" w:rsidR="00BB1AD6" w:rsidRDefault="00BB1AD6" w:rsidP="002547F5">
      <w:pPr>
        <w:autoSpaceDE w:val="0"/>
        <w:autoSpaceDN w:val="0"/>
        <w:adjustRightInd w:val="0"/>
        <w:spacing w:after="0"/>
        <w:jc w:val="both"/>
        <w:rPr>
          <w:rStyle w:val="Uwydatnienie"/>
          <w:rFonts w:ascii="Times New Roman" w:hAnsi="Times New Roman" w:cs="Times New Roman"/>
          <w:i w:val="0"/>
          <w:iCs w:val="0"/>
          <w:sz w:val="24"/>
          <w:szCs w:val="24"/>
        </w:rPr>
      </w:pPr>
      <w:r w:rsidRPr="00765010">
        <w:rPr>
          <w:rStyle w:val="Uwydatnienie"/>
          <w:rFonts w:ascii="Times New Roman" w:hAnsi="Times New Roman" w:cs="Times New Roman"/>
          <w:i w:val="0"/>
          <w:iCs w:val="0"/>
          <w:sz w:val="24"/>
          <w:szCs w:val="24"/>
        </w:rPr>
        <w:t>W kalkulacji wynagrodzeń w roku 2024 oraz latach kolejnych ujęto odpowiednio osoby przebywające na urlopach wychowawczych.</w:t>
      </w:r>
    </w:p>
    <w:p w14:paraId="578FFCFB" w14:textId="77777777" w:rsidR="00B34166" w:rsidRDefault="00B34166" w:rsidP="002547F5">
      <w:pPr>
        <w:autoSpaceDE w:val="0"/>
        <w:autoSpaceDN w:val="0"/>
        <w:adjustRightInd w:val="0"/>
        <w:spacing w:after="0"/>
        <w:jc w:val="both"/>
        <w:rPr>
          <w:rStyle w:val="Uwydatnienie"/>
          <w:rFonts w:ascii="Times New Roman" w:hAnsi="Times New Roman" w:cs="Times New Roman"/>
          <w:i w:val="0"/>
          <w:iCs w:val="0"/>
          <w:sz w:val="24"/>
          <w:szCs w:val="24"/>
        </w:rPr>
      </w:pPr>
    </w:p>
    <w:p w14:paraId="0D2857B5" w14:textId="77777777" w:rsidR="00B34166" w:rsidRDefault="00B34166" w:rsidP="002547F5">
      <w:pPr>
        <w:autoSpaceDE w:val="0"/>
        <w:autoSpaceDN w:val="0"/>
        <w:adjustRightInd w:val="0"/>
        <w:spacing w:after="0"/>
        <w:jc w:val="both"/>
        <w:rPr>
          <w:rStyle w:val="Uwydatnienie"/>
          <w:rFonts w:ascii="Times New Roman" w:hAnsi="Times New Roman" w:cs="Times New Roman"/>
          <w:i w:val="0"/>
          <w:iCs w:val="0"/>
          <w:sz w:val="24"/>
          <w:szCs w:val="24"/>
        </w:rPr>
      </w:pPr>
    </w:p>
    <w:p w14:paraId="66650F03" w14:textId="77777777" w:rsidR="00B34166" w:rsidRDefault="00B34166" w:rsidP="002547F5">
      <w:pPr>
        <w:autoSpaceDE w:val="0"/>
        <w:autoSpaceDN w:val="0"/>
        <w:adjustRightInd w:val="0"/>
        <w:spacing w:after="0"/>
        <w:jc w:val="both"/>
        <w:rPr>
          <w:rStyle w:val="Uwydatnienie"/>
          <w:rFonts w:ascii="Times New Roman" w:hAnsi="Times New Roman" w:cs="Times New Roman"/>
          <w:i w:val="0"/>
          <w:iCs w:val="0"/>
          <w:sz w:val="24"/>
          <w:szCs w:val="24"/>
        </w:rPr>
      </w:pPr>
    </w:p>
    <w:p w14:paraId="1BE0F1D1" w14:textId="77777777" w:rsidR="00B34166" w:rsidRDefault="00B34166" w:rsidP="00A57A5B">
      <w:pPr>
        <w:autoSpaceDE w:val="0"/>
        <w:autoSpaceDN w:val="0"/>
        <w:adjustRightInd w:val="0"/>
        <w:spacing w:after="0"/>
        <w:rPr>
          <w:rStyle w:val="Uwydatnienie"/>
          <w:rFonts w:ascii="Times New Roman" w:hAnsi="Times New Roman" w:cs="Times New Roman"/>
          <w:i w:val="0"/>
          <w:iCs w:val="0"/>
          <w:sz w:val="24"/>
          <w:szCs w:val="24"/>
        </w:rPr>
      </w:pPr>
    </w:p>
    <w:p w14:paraId="46F23022" w14:textId="77777777" w:rsidR="00B34166" w:rsidRDefault="00B34166" w:rsidP="00A57A5B">
      <w:pPr>
        <w:autoSpaceDE w:val="0"/>
        <w:autoSpaceDN w:val="0"/>
        <w:adjustRightInd w:val="0"/>
        <w:spacing w:after="0"/>
        <w:rPr>
          <w:rStyle w:val="Uwydatnienie"/>
          <w:rFonts w:ascii="Times New Roman" w:hAnsi="Times New Roman" w:cs="Times New Roman"/>
          <w:i w:val="0"/>
          <w:iCs w:val="0"/>
          <w:sz w:val="24"/>
          <w:szCs w:val="24"/>
        </w:rPr>
      </w:pPr>
    </w:p>
    <w:p w14:paraId="47FB028C" w14:textId="04F61119" w:rsidR="00B34166" w:rsidRDefault="00B34166" w:rsidP="009E33E0">
      <w:pPr>
        <w:autoSpaceDE w:val="0"/>
        <w:autoSpaceDN w:val="0"/>
        <w:adjustRightInd w:val="0"/>
        <w:spacing w:after="0"/>
        <w:ind w:firstLine="708"/>
        <w:jc w:val="both"/>
        <w:rPr>
          <w:rStyle w:val="Uwydatnienie"/>
          <w:rFonts w:ascii="Times New Roman" w:hAnsi="Times New Roman" w:cs="Times New Roman"/>
          <w:i w:val="0"/>
          <w:iCs w:val="0"/>
          <w:sz w:val="24"/>
          <w:szCs w:val="24"/>
        </w:rPr>
      </w:pPr>
      <w:r>
        <w:rPr>
          <w:rStyle w:val="Uwydatnienie"/>
          <w:rFonts w:ascii="Times New Roman" w:hAnsi="Times New Roman" w:cs="Times New Roman"/>
          <w:i w:val="0"/>
          <w:iCs w:val="0"/>
          <w:sz w:val="24"/>
          <w:szCs w:val="24"/>
        </w:rPr>
        <w:t xml:space="preserve">Należy również wyjaśnić, że Śląski Oddział Wojewódzki w Katowicach dokonał zapłaty za </w:t>
      </w:r>
      <w:proofErr w:type="spellStart"/>
      <w:r>
        <w:rPr>
          <w:rStyle w:val="Uwydatnienie"/>
          <w:rFonts w:ascii="Times New Roman" w:hAnsi="Times New Roman" w:cs="Times New Roman"/>
          <w:i w:val="0"/>
          <w:iCs w:val="0"/>
          <w:sz w:val="24"/>
          <w:szCs w:val="24"/>
        </w:rPr>
        <w:t>nadwykonania</w:t>
      </w:r>
      <w:proofErr w:type="spellEnd"/>
      <w:r>
        <w:rPr>
          <w:rStyle w:val="Uwydatnienie"/>
          <w:rFonts w:ascii="Times New Roman" w:hAnsi="Times New Roman" w:cs="Times New Roman"/>
          <w:i w:val="0"/>
          <w:iCs w:val="0"/>
          <w:sz w:val="24"/>
          <w:szCs w:val="24"/>
        </w:rPr>
        <w:t xml:space="preserve"> w 2023r w kwotach: </w:t>
      </w:r>
    </w:p>
    <w:p w14:paraId="68B29F9E" w14:textId="3625433E" w:rsidR="00B34166" w:rsidRDefault="00B34166" w:rsidP="009E33E0">
      <w:pPr>
        <w:autoSpaceDE w:val="0"/>
        <w:autoSpaceDN w:val="0"/>
        <w:adjustRightInd w:val="0"/>
        <w:spacing w:after="0"/>
        <w:jc w:val="both"/>
        <w:rPr>
          <w:rStyle w:val="Uwydatnienie"/>
          <w:rFonts w:ascii="Times New Roman" w:hAnsi="Times New Roman" w:cs="Times New Roman"/>
          <w:i w:val="0"/>
          <w:iCs w:val="0"/>
          <w:sz w:val="24"/>
          <w:szCs w:val="24"/>
        </w:rPr>
      </w:pPr>
      <w:r>
        <w:rPr>
          <w:rStyle w:val="Uwydatnienie"/>
          <w:rFonts w:ascii="Times New Roman" w:hAnsi="Times New Roman" w:cs="Times New Roman"/>
          <w:i w:val="0"/>
          <w:iCs w:val="0"/>
          <w:sz w:val="24"/>
          <w:szCs w:val="24"/>
        </w:rPr>
        <w:t>AOS- 45 609,03zł  FNR 79/2024</w:t>
      </w:r>
    </w:p>
    <w:p w14:paraId="5C5D70D4" w14:textId="6C5A9CD2" w:rsidR="00F36F50" w:rsidRDefault="00B34166" w:rsidP="009E33E0">
      <w:pPr>
        <w:autoSpaceDE w:val="0"/>
        <w:autoSpaceDN w:val="0"/>
        <w:adjustRightInd w:val="0"/>
        <w:spacing w:after="0"/>
        <w:jc w:val="both"/>
        <w:rPr>
          <w:rFonts w:ascii="Times New Roman" w:hAnsi="Times New Roman" w:cs="Times New Roman"/>
          <w:b/>
          <w:sz w:val="24"/>
          <w:szCs w:val="24"/>
        </w:rPr>
      </w:pPr>
      <w:r>
        <w:rPr>
          <w:rStyle w:val="Uwydatnienie"/>
          <w:rFonts w:ascii="Times New Roman" w:hAnsi="Times New Roman" w:cs="Times New Roman"/>
          <w:i w:val="0"/>
          <w:iCs w:val="0"/>
          <w:sz w:val="24"/>
          <w:szCs w:val="24"/>
        </w:rPr>
        <w:t>Rehabilitacja – 49 952,82zł  FNR 80/2024, FNR 81/2024</w:t>
      </w:r>
      <w:r w:rsidR="002547F5">
        <w:rPr>
          <w:rStyle w:val="Uwydatnienie"/>
          <w:rFonts w:ascii="Times New Roman" w:hAnsi="Times New Roman" w:cs="Times New Roman"/>
          <w:i w:val="0"/>
          <w:iCs w:val="0"/>
          <w:sz w:val="24"/>
          <w:szCs w:val="24"/>
        </w:rPr>
        <w:t>.</w:t>
      </w:r>
    </w:p>
    <w:p w14:paraId="2AD599E1" w14:textId="77777777" w:rsidR="00F36F50" w:rsidRDefault="00F36F50" w:rsidP="00A57A5B">
      <w:pPr>
        <w:ind w:left="284"/>
        <w:jc w:val="both"/>
        <w:rPr>
          <w:rFonts w:ascii="Times New Roman" w:hAnsi="Times New Roman" w:cs="Times New Roman"/>
          <w:b/>
          <w:sz w:val="24"/>
          <w:szCs w:val="24"/>
        </w:rPr>
      </w:pPr>
    </w:p>
    <w:p w14:paraId="673EB9C1" w14:textId="7DAE4D42" w:rsidR="001E1158" w:rsidRPr="00765010" w:rsidRDefault="001E1158" w:rsidP="00A57A5B">
      <w:pPr>
        <w:ind w:left="284"/>
        <w:jc w:val="both"/>
        <w:rPr>
          <w:rFonts w:ascii="Times New Roman" w:hAnsi="Times New Roman" w:cs="Times New Roman"/>
          <w:b/>
          <w:sz w:val="24"/>
          <w:szCs w:val="24"/>
        </w:rPr>
      </w:pPr>
      <w:r w:rsidRPr="00765010">
        <w:rPr>
          <w:rFonts w:ascii="Times New Roman" w:hAnsi="Times New Roman" w:cs="Times New Roman"/>
          <w:b/>
          <w:sz w:val="24"/>
          <w:szCs w:val="24"/>
        </w:rPr>
        <w:t>Założenia do prognozy przychodów i kosztów</w:t>
      </w:r>
      <w:r w:rsidR="00851EB7" w:rsidRPr="00765010">
        <w:rPr>
          <w:rFonts w:ascii="Times New Roman" w:hAnsi="Times New Roman" w:cs="Times New Roman"/>
          <w:b/>
          <w:sz w:val="24"/>
          <w:szCs w:val="24"/>
        </w:rPr>
        <w:t xml:space="preserve"> na lata 202</w:t>
      </w:r>
      <w:r w:rsidR="00D53335" w:rsidRPr="00765010">
        <w:rPr>
          <w:rFonts w:ascii="Times New Roman" w:hAnsi="Times New Roman" w:cs="Times New Roman"/>
          <w:b/>
          <w:sz w:val="24"/>
          <w:szCs w:val="24"/>
        </w:rPr>
        <w:t>4</w:t>
      </w:r>
      <w:r w:rsidR="002547F5">
        <w:rPr>
          <w:rFonts w:ascii="Times New Roman" w:hAnsi="Times New Roman" w:cs="Times New Roman"/>
          <w:b/>
          <w:sz w:val="24"/>
          <w:szCs w:val="24"/>
        </w:rPr>
        <w:t xml:space="preserve"> r.</w:t>
      </w:r>
      <w:r w:rsidR="00034472" w:rsidRPr="00765010">
        <w:rPr>
          <w:rFonts w:ascii="Times New Roman" w:hAnsi="Times New Roman" w:cs="Times New Roman"/>
          <w:b/>
          <w:sz w:val="24"/>
          <w:szCs w:val="24"/>
        </w:rPr>
        <w:t>,</w:t>
      </w:r>
      <w:r w:rsidR="002547F5">
        <w:rPr>
          <w:rFonts w:ascii="Times New Roman" w:hAnsi="Times New Roman" w:cs="Times New Roman"/>
          <w:b/>
          <w:sz w:val="24"/>
          <w:szCs w:val="24"/>
        </w:rPr>
        <w:t xml:space="preserve"> </w:t>
      </w:r>
      <w:r w:rsidR="00034472" w:rsidRPr="00765010">
        <w:rPr>
          <w:rFonts w:ascii="Times New Roman" w:hAnsi="Times New Roman" w:cs="Times New Roman"/>
          <w:b/>
          <w:sz w:val="24"/>
          <w:szCs w:val="24"/>
        </w:rPr>
        <w:t>202</w:t>
      </w:r>
      <w:r w:rsidR="00D53335" w:rsidRPr="00765010">
        <w:rPr>
          <w:rFonts w:ascii="Times New Roman" w:hAnsi="Times New Roman" w:cs="Times New Roman"/>
          <w:b/>
          <w:sz w:val="24"/>
          <w:szCs w:val="24"/>
        </w:rPr>
        <w:t>5</w:t>
      </w:r>
      <w:r w:rsidR="002547F5">
        <w:rPr>
          <w:rFonts w:ascii="Times New Roman" w:hAnsi="Times New Roman" w:cs="Times New Roman"/>
          <w:b/>
          <w:sz w:val="24"/>
          <w:szCs w:val="24"/>
        </w:rPr>
        <w:t xml:space="preserve"> r.</w:t>
      </w:r>
      <w:r w:rsidR="00034472" w:rsidRPr="00765010">
        <w:rPr>
          <w:rFonts w:ascii="Times New Roman" w:hAnsi="Times New Roman" w:cs="Times New Roman"/>
          <w:b/>
          <w:sz w:val="24"/>
          <w:szCs w:val="24"/>
        </w:rPr>
        <w:t>,</w:t>
      </w:r>
      <w:r w:rsidR="002547F5">
        <w:rPr>
          <w:rFonts w:ascii="Times New Roman" w:hAnsi="Times New Roman" w:cs="Times New Roman"/>
          <w:b/>
          <w:sz w:val="24"/>
          <w:szCs w:val="24"/>
        </w:rPr>
        <w:t xml:space="preserve"> </w:t>
      </w:r>
      <w:r w:rsidR="00034472" w:rsidRPr="00765010">
        <w:rPr>
          <w:rFonts w:ascii="Times New Roman" w:hAnsi="Times New Roman" w:cs="Times New Roman"/>
          <w:b/>
          <w:sz w:val="24"/>
          <w:szCs w:val="24"/>
        </w:rPr>
        <w:t>202</w:t>
      </w:r>
      <w:r w:rsidR="00D53335" w:rsidRPr="00765010">
        <w:rPr>
          <w:rFonts w:ascii="Times New Roman" w:hAnsi="Times New Roman" w:cs="Times New Roman"/>
          <w:b/>
          <w:sz w:val="24"/>
          <w:szCs w:val="24"/>
        </w:rPr>
        <w:t>6</w:t>
      </w:r>
      <w:r w:rsidR="002547F5">
        <w:rPr>
          <w:rFonts w:ascii="Times New Roman" w:hAnsi="Times New Roman" w:cs="Times New Roman"/>
          <w:b/>
          <w:sz w:val="24"/>
          <w:szCs w:val="24"/>
        </w:rPr>
        <w:t xml:space="preserve"> r.</w:t>
      </w:r>
    </w:p>
    <w:p w14:paraId="7D6CF6E7" w14:textId="076FFD7B" w:rsidR="00D53335" w:rsidRPr="00765010" w:rsidRDefault="001E1158" w:rsidP="00A57A5B">
      <w:pPr>
        <w:autoSpaceDE w:val="0"/>
        <w:autoSpaceDN w:val="0"/>
        <w:adjustRightInd w:val="0"/>
        <w:spacing w:after="0"/>
        <w:ind w:left="284"/>
        <w:jc w:val="both"/>
        <w:rPr>
          <w:rFonts w:ascii="Times New Roman" w:hAnsi="Times New Roman" w:cs="Times New Roman"/>
          <w:sz w:val="24"/>
          <w:szCs w:val="24"/>
        </w:rPr>
      </w:pPr>
      <w:r w:rsidRPr="00765010">
        <w:rPr>
          <w:rFonts w:ascii="Times New Roman" w:hAnsi="Times New Roman" w:cs="Times New Roman"/>
          <w:sz w:val="24"/>
          <w:szCs w:val="24"/>
        </w:rPr>
        <w:tab/>
      </w:r>
      <w:r w:rsidR="00034472" w:rsidRPr="00765010">
        <w:rPr>
          <w:rFonts w:ascii="Times New Roman" w:hAnsi="Times New Roman" w:cs="Times New Roman"/>
          <w:sz w:val="24"/>
          <w:szCs w:val="24"/>
        </w:rPr>
        <w:t>W obecnych warunkach prognozowanie sytuacji</w:t>
      </w:r>
      <w:r w:rsidR="00D53335" w:rsidRPr="00765010">
        <w:rPr>
          <w:rFonts w:ascii="Times New Roman" w:hAnsi="Times New Roman" w:cs="Times New Roman"/>
          <w:sz w:val="24"/>
          <w:szCs w:val="24"/>
        </w:rPr>
        <w:t xml:space="preserve"> zakładu na okres </w:t>
      </w:r>
      <w:r w:rsidR="00034472" w:rsidRPr="00765010">
        <w:rPr>
          <w:rFonts w:ascii="Times New Roman" w:hAnsi="Times New Roman" w:cs="Times New Roman"/>
          <w:sz w:val="24"/>
          <w:szCs w:val="24"/>
        </w:rPr>
        <w:t xml:space="preserve"> 3 lat obarczone jest dużym ryzykiem błędu, podobnie jak sytuacji makroekonomicznej. Znaczny poziom inflacji , ograniczenia związane </w:t>
      </w:r>
      <w:r w:rsidR="002547F5">
        <w:rPr>
          <w:rFonts w:ascii="Times New Roman" w:hAnsi="Times New Roman" w:cs="Times New Roman"/>
          <w:sz w:val="24"/>
          <w:szCs w:val="24"/>
        </w:rPr>
        <w:t xml:space="preserve">                          </w:t>
      </w:r>
      <w:r w:rsidR="00034472" w:rsidRPr="00765010">
        <w:rPr>
          <w:rFonts w:ascii="Times New Roman" w:hAnsi="Times New Roman" w:cs="Times New Roman"/>
          <w:sz w:val="24"/>
          <w:szCs w:val="24"/>
        </w:rPr>
        <w:t>z sytuacj</w:t>
      </w:r>
      <w:r w:rsidR="00CD19E6" w:rsidRPr="00765010">
        <w:rPr>
          <w:rFonts w:ascii="Times New Roman" w:hAnsi="Times New Roman" w:cs="Times New Roman"/>
          <w:sz w:val="24"/>
          <w:szCs w:val="24"/>
        </w:rPr>
        <w:t>ą</w:t>
      </w:r>
      <w:r w:rsidR="00034472" w:rsidRPr="00765010">
        <w:rPr>
          <w:rFonts w:ascii="Times New Roman" w:hAnsi="Times New Roman" w:cs="Times New Roman"/>
          <w:sz w:val="24"/>
          <w:szCs w:val="24"/>
        </w:rPr>
        <w:t xml:space="preserve"> gospodarczą może mieć  większy niż założono wpływ na wyniki finansowe jednostki </w:t>
      </w:r>
      <w:r w:rsidR="002547F5">
        <w:rPr>
          <w:rFonts w:ascii="Times New Roman" w:hAnsi="Times New Roman" w:cs="Times New Roman"/>
          <w:sz w:val="24"/>
          <w:szCs w:val="24"/>
        </w:rPr>
        <w:t xml:space="preserve">                                  </w:t>
      </w:r>
      <w:r w:rsidR="00034472" w:rsidRPr="00765010">
        <w:rPr>
          <w:rFonts w:ascii="Times New Roman" w:hAnsi="Times New Roman" w:cs="Times New Roman"/>
          <w:sz w:val="24"/>
          <w:szCs w:val="24"/>
        </w:rPr>
        <w:t>w najbliższych latach. Zakładamy dalsz</w:t>
      </w:r>
      <w:r w:rsidR="00CD19E6" w:rsidRPr="00765010">
        <w:rPr>
          <w:rFonts w:ascii="Times New Roman" w:hAnsi="Times New Roman" w:cs="Times New Roman"/>
          <w:sz w:val="24"/>
          <w:szCs w:val="24"/>
        </w:rPr>
        <w:t>ą</w:t>
      </w:r>
      <w:r w:rsidR="00034472" w:rsidRPr="00765010">
        <w:rPr>
          <w:rFonts w:ascii="Times New Roman" w:hAnsi="Times New Roman" w:cs="Times New Roman"/>
          <w:sz w:val="24"/>
          <w:szCs w:val="24"/>
        </w:rPr>
        <w:t xml:space="preserve"> realizację usług </w:t>
      </w:r>
      <w:r w:rsidR="00D53335" w:rsidRPr="00765010">
        <w:rPr>
          <w:rFonts w:ascii="Times New Roman" w:hAnsi="Times New Roman" w:cs="Times New Roman"/>
          <w:sz w:val="24"/>
          <w:szCs w:val="24"/>
        </w:rPr>
        <w:t xml:space="preserve">zdrowotnych </w:t>
      </w:r>
      <w:r w:rsidR="00034472" w:rsidRPr="00765010">
        <w:rPr>
          <w:rFonts w:ascii="Times New Roman" w:hAnsi="Times New Roman" w:cs="Times New Roman"/>
          <w:sz w:val="24"/>
          <w:szCs w:val="24"/>
        </w:rPr>
        <w:t xml:space="preserve">na rzecz </w:t>
      </w:r>
      <w:r w:rsidR="00D53335" w:rsidRPr="00765010">
        <w:rPr>
          <w:rFonts w:ascii="Times New Roman" w:hAnsi="Times New Roman" w:cs="Times New Roman"/>
          <w:sz w:val="24"/>
          <w:szCs w:val="24"/>
        </w:rPr>
        <w:t>P</w:t>
      </w:r>
      <w:r w:rsidR="00034472" w:rsidRPr="00765010">
        <w:rPr>
          <w:rFonts w:ascii="Times New Roman" w:hAnsi="Times New Roman" w:cs="Times New Roman"/>
          <w:sz w:val="24"/>
          <w:szCs w:val="24"/>
        </w:rPr>
        <w:t>acjentów podlegających powszechnemu ubezpieczeniu zdrowotnemu</w:t>
      </w:r>
      <w:r w:rsidR="00D53335" w:rsidRPr="00765010">
        <w:rPr>
          <w:rFonts w:ascii="Times New Roman" w:hAnsi="Times New Roman" w:cs="Times New Roman"/>
          <w:sz w:val="24"/>
          <w:szCs w:val="24"/>
        </w:rPr>
        <w:t xml:space="preserve"> w Podstawowej Opiece Zdrowotnej, Ambulatoryjnej Opiece Zdrowotnej, Stomatologii jak również Rehabilitacji.</w:t>
      </w:r>
    </w:p>
    <w:p w14:paraId="3860AB0C" w14:textId="77777777" w:rsidR="00C808E3" w:rsidRPr="00765010" w:rsidRDefault="00C808E3" w:rsidP="00A57A5B">
      <w:pPr>
        <w:autoSpaceDE w:val="0"/>
        <w:autoSpaceDN w:val="0"/>
        <w:adjustRightInd w:val="0"/>
        <w:spacing w:after="0"/>
        <w:ind w:left="284"/>
        <w:jc w:val="both"/>
        <w:rPr>
          <w:rFonts w:ascii="Times New Roman" w:hAnsi="Times New Roman" w:cs="Times New Roman"/>
          <w:sz w:val="24"/>
          <w:szCs w:val="24"/>
        </w:rPr>
      </w:pPr>
    </w:p>
    <w:p w14:paraId="038B6B16" w14:textId="1FAD3BF9" w:rsidR="00C808E3" w:rsidRPr="00F36F50" w:rsidRDefault="00C808E3" w:rsidP="009E33E0">
      <w:pPr>
        <w:autoSpaceDE w:val="0"/>
        <w:autoSpaceDN w:val="0"/>
        <w:adjustRightInd w:val="0"/>
        <w:spacing w:after="0"/>
        <w:ind w:left="284" w:firstLine="424"/>
        <w:jc w:val="both"/>
        <w:rPr>
          <w:rFonts w:ascii="Times New Roman" w:hAnsi="Times New Roman" w:cs="Times New Roman"/>
          <w:sz w:val="24"/>
          <w:szCs w:val="24"/>
        </w:rPr>
      </w:pPr>
      <w:r w:rsidRPr="00F36F50">
        <w:rPr>
          <w:rFonts w:ascii="Times New Roman" w:hAnsi="Times New Roman" w:cs="Times New Roman"/>
          <w:sz w:val="24"/>
          <w:szCs w:val="24"/>
        </w:rPr>
        <w:t>Kontrakt z Narodowym Funduszem Zdrowia stanowi istotne źródło finansowania dla placówek medycznych jednak zawarcie go wymaga starannego przygotowania i zrozumienia procesu</w:t>
      </w:r>
      <w:r w:rsidR="00C1247D" w:rsidRPr="00F36F50">
        <w:rPr>
          <w:rFonts w:ascii="Times New Roman" w:hAnsi="Times New Roman" w:cs="Times New Roman"/>
          <w:sz w:val="24"/>
          <w:szCs w:val="24"/>
        </w:rPr>
        <w:t xml:space="preserve"> </w:t>
      </w:r>
      <w:r w:rsidRPr="00F36F50">
        <w:rPr>
          <w:rFonts w:ascii="Times New Roman" w:hAnsi="Times New Roman" w:cs="Times New Roman"/>
          <w:sz w:val="24"/>
          <w:szCs w:val="24"/>
        </w:rPr>
        <w:t>składania ofert jak również rokowań.</w:t>
      </w:r>
      <w:r w:rsidR="00C1247D" w:rsidRPr="00F36F50">
        <w:rPr>
          <w:rFonts w:ascii="Times New Roman" w:hAnsi="Times New Roman" w:cs="Times New Roman"/>
          <w:sz w:val="24"/>
          <w:szCs w:val="24"/>
        </w:rPr>
        <w:t xml:space="preserve"> Rożne zalety, takie jak gwarantowane rozliczanie świadczeń, balansują </w:t>
      </w:r>
      <w:r w:rsidR="009E33E0">
        <w:rPr>
          <w:rFonts w:ascii="Times New Roman" w:hAnsi="Times New Roman" w:cs="Times New Roman"/>
          <w:sz w:val="24"/>
          <w:szCs w:val="24"/>
        </w:rPr>
        <w:t xml:space="preserve">                                       </w:t>
      </w:r>
      <w:r w:rsidR="00C1247D" w:rsidRPr="00F36F50">
        <w:rPr>
          <w:rFonts w:ascii="Times New Roman" w:hAnsi="Times New Roman" w:cs="Times New Roman"/>
          <w:sz w:val="24"/>
          <w:szCs w:val="24"/>
        </w:rPr>
        <w:t>z potencjalnymi trudnościami, takimi jak skomplikowany formalizm i nadzór NFZ.</w:t>
      </w:r>
    </w:p>
    <w:p w14:paraId="34C9E52F" w14:textId="77777777" w:rsidR="009E33E0" w:rsidRDefault="00034472" w:rsidP="00A57A5B">
      <w:pPr>
        <w:autoSpaceDE w:val="0"/>
        <w:autoSpaceDN w:val="0"/>
        <w:adjustRightInd w:val="0"/>
        <w:spacing w:after="0"/>
        <w:ind w:left="284"/>
        <w:jc w:val="both"/>
        <w:rPr>
          <w:rFonts w:ascii="Times New Roman" w:hAnsi="Times New Roman" w:cs="Times New Roman"/>
          <w:sz w:val="24"/>
          <w:szCs w:val="24"/>
        </w:rPr>
      </w:pPr>
      <w:r w:rsidRPr="00765010">
        <w:rPr>
          <w:rFonts w:ascii="Times New Roman" w:hAnsi="Times New Roman" w:cs="Times New Roman"/>
          <w:sz w:val="24"/>
          <w:szCs w:val="24"/>
        </w:rPr>
        <w:t xml:space="preserve"> </w:t>
      </w:r>
    </w:p>
    <w:p w14:paraId="11470598" w14:textId="53E289B6" w:rsidR="00CD19E6" w:rsidRPr="00765010" w:rsidRDefault="00034472" w:rsidP="009E33E0">
      <w:pPr>
        <w:autoSpaceDE w:val="0"/>
        <w:autoSpaceDN w:val="0"/>
        <w:adjustRightInd w:val="0"/>
        <w:spacing w:after="0"/>
        <w:ind w:left="284" w:firstLine="424"/>
        <w:jc w:val="both"/>
        <w:rPr>
          <w:rFonts w:ascii="Times New Roman" w:hAnsi="Times New Roman" w:cs="Times New Roman"/>
          <w:sz w:val="24"/>
          <w:szCs w:val="24"/>
        </w:rPr>
      </w:pPr>
      <w:r w:rsidRPr="00765010">
        <w:rPr>
          <w:rFonts w:ascii="Times New Roman" w:hAnsi="Times New Roman" w:cs="Times New Roman"/>
          <w:sz w:val="24"/>
          <w:szCs w:val="24"/>
        </w:rPr>
        <w:t xml:space="preserve">Przychody otrzymywane z NFZ </w:t>
      </w:r>
      <w:r w:rsidR="00F724C1" w:rsidRPr="00765010">
        <w:rPr>
          <w:rFonts w:ascii="Times New Roman" w:hAnsi="Times New Roman" w:cs="Times New Roman"/>
          <w:sz w:val="24"/>
          <w:szCs w:val="24"/>
        </w:rPr>
        <w:t>w 2023</w:t>
      </w:r>
      <w:r w:rsidR="002547F5">
        <w:rPr>
          <w:rFonts w:ascii="Times New Roman" w:hAnsi="Times New Roman" w:cs="Times New Roman"/>
          <w:sz w:val="24"/>
          <w:szCs w:val="24"/>
        </w:rPr>
        <w:t xml:space="preserve"> </w:t>
      </w:r>
      <w:r w:rsidR="00F724C1" w:rsidRPr="00765010">
        <w:rPr>
          <w:rFonts w:ascii="Times New Roman" w:hAnsi="Times New Roman" w:cs="Times New Roman"/>
          <w:sz w:val="24"/>
          <w:szCs w:val="24"/>
        </w:rPr>
        <w:t>r</w:t>
      </w:r>
      <w:r w:rsidR="002547F5">
        <w:rPr>
          <w:rFonts w:ascii="Times New Roman" w:hAnsi="Times New Roman" w:cs="Times New Roman"/>
          <w:sz w:val="24"/>
          <w:szCs w:val="24"/>
        </w:rPr>
        <w:t>.</w:t>
      </w:r>
      <w:r w:rsidR="00F724C1" w:rsidRPr="00765010">
        <w:rPr>
          <w:rFonts w:ascii="Times New Roman" w:hAnsi="Times New Roman" w:cs="Times New Roman"/>
          <w:sz w:val="24"/>
          <w:szCs w:val="24"/>
        </w:rPr>
        <w:t xml:space="preserve"> </w:t>
      </w:r>
      <w:r w:rsidR="00083613" w:rsidRPr="00765010">
        <w:rPr>
          <w:rFonts w:ascii="Times New Roman" w:hAnsi="Times New Roman" w:cs="Times New Roman"/>
          <w:sz w:val="24"/>
          <w:szCs w:val="24"/>
        </w:rPr>
        <w:t xml:space="preserve"> stanowi</w:t>
      </w:r>
      <w:r w:rsidR="00F724C1" w:rsidRPr="00765010">
        <w:rPr>
          <w:rFonts w:ascii="Times New Roman" w:hAnsi="Times New Roman" w:cs="Times New Roman"/>
          <w:sz w:val="24"/>
          <w:szCs w:val="24"/>
        </w:rPr>
        <w:t>ły</w:t>
      </w:r>
      <w:r w:rsidR="00083613" w:rsidRPr="00765010">
        <w:rPr>
          <w:rFonts w:ascii="Times New Roman" w:hAnsi="Times New Roman" w:cs="Times New Roman"/>
          <w:sz w:val="24"/>
          <w:szCs w:val="24"/>
        </w:rPr>
        <w:t xml:space="preserve"> dla nas </w:t>
      </w:r>
      <w:r w:rsidR="00F724C1" w:rsidRPr="00765010">
        <w:rPr>
          <w:rFonts w:ascii="Times New Roman" w:hAnsi="Times New Roman" w:cs="Times New Roman"/>
          <w:sz w:val="24"/>
          <w:szCs w:val="24"/>
        </w:rPr>
        <w:t>97,84%</w:t>
      </w:r>
      <w:r w:rsidR="00083613" w:rsidRPr="00765010">
        <w:rPr>
          <w:rFonts w:ascii="Times New Roman" w:hAnsi="Times New Roman" w:cs="Times New Roman"/>
          <w:sz w:val="24"/>
          <w:szCs w:val="24"/>
        </w:rPr>
        <w:t xml:space="preserve"> przychodów ze sprzedaży i skutki finansowe ich braku ( lub zmniejszenia) byłyby dla nas bardzo niekorzystne. Zakładamy również finansowanie przez publicznego płatnika podwyżek pracowników podmiotów medycznych. Agencja Oceny</w:t>
      </w:r>
      <w:r w:rsidR="00CD19E6" w:rsidRPr="00765010">
        <w:rPr>
          <w:rFonts w:ascii="Times New Roman" w:hAnsi="Times New Roman" w:cs="Times New Roman"/>
          <w:sz w:val="24"/>
          <w:szCs w:val="24"/>
        </w:rPr>
        <w:t xml:space="preserve"> Technologii </w:t>
      </w:r>
      <w:r w:rsidR="00083613" w:rsidRPr="00765010">
        <w:rPr>
          <w:rFonts w:ascii="Times New Roman" w:hAnsi="Times New Roman" w:cs="Times New Roman"/>
          <w:sz w:val="24"/>
          <w:szCs w:val="24"/>
        </w:rPr>
        <w:t xml:space="preserve"> Medycznej </w:t>
      </w:r>
      <w:r w:rsidR="00CD19E6" w:rsidRPr="00765010">
        <w:rPr>
          <w:rFonts w:ascii="Times New Roman" w:hAnsi="Times New Roman" w:cs="Times New Roman"/>
          <w:sz w:val="24"/>
          <w:szCs w:val="24"/>
        </w:rPr>
        <w:t xml:space="preserve">i Taryfikacji obliguje nas do sprawozdawania kosztów osobowych oraz bezosobowych naszych pracowników, zleceniobiorców w celu rozeznania wielkości naszych kontraktów oraz podwyżek. Wzrost minimalnych wynagrodzeń pracowników medycznych oraz znaczny wzrost cen energii, materiałów i usług powoduje dalszy wzrost kosztów rodzajowych. </w:t>
      </w:r>
    </w:p>
    <w:p w14:paraId="49B39247" w14:textId="02D0631C" w:rsidR="00CD19E6" w:rsidRPr="00765010" w:rsidRDefault="005F2576" w:rsidP="00BD414B">
      <w:pPr>
        <w:autoSpaceDE w:val="0"/>
        <w:autoSpaceDN w:val="0"/>
        <w:adjustRightInd w:val="0"/>
        <w:spacing w:after="0" w:line="240" w:lineRule="auto"/>
        <w:ind w:left="284"/>
        <w:jc w:val="both"/>
        <w:rPr>
          <w:rFonts w:ascii="Times New Roman" w:hAnsi="Times New Roman" w:cs="Times New Roman"/>
          <w:sz w:val="24"/>
          <w:szCs w:val="24"/>
        </w:rPr>
      </w:pPr>
      <w:r w:rsidRPr="00765010">
        <w:rPr>
          <w:rFonts w:ascii="Times New Roman" w:hAnsi="Times New Roman" w:cs="Times New Roman"/>
          <w:sz w:val="24"/>
          <w:szCs w:val="24"/>
        </w:rPr>
        <w:t>Bardzo dużym utrudnieniem w funkcjonowaniu usług medycznych jest olbrzymi brak kadry medycznej zwłaszcza lekarzy i pielęgniarek.</w:t>
      </w:r>
      <w:r w:rsidR="002547F5">
        <w:rPr>
          <w:rFonts w:ascii="Times New Roman" w:hAnsi="Times New Roman" w:cs="Times New Roman"/>
          <w:sz w:val="24"/>
          <w:szCs w:val="24"/>
        </w:rPr>
        <w:t xml:space="preserve"> </w:t>
      </w:r>
      <w:r w:rsidRPr="00765010">
        <w:rPr>
          <w:rFonts w:ascii="Times New Roman" w:hAnsi="Times New Roman" w:cs="Times New Roman"/>
          <w:sz w:val="24"/>
          <w:szCs w:val="24"/>
        </w:rPr>
        <w:t>Niekorzystana jest także sytuacja związana z inflacją, która powoduje wzrost cen i usług.</w:t>
      </w:r>
    </w:p>
    <w:p w14:paraId="21C31C0E" w14:textId="77777777" w:rsidR="00C1247D" w:rsidRPr="00765010" w:rsidRDefault="00C1247D" w:rsidP="00BD414B">
      <w:pPr>
        <w:autoSpaceDE w:val="0"/>
        <w:autoSpaceDN w:val="0"/>
        <w:adjustRightInd w:val="0"/>
        <w:spacing w:after="0" w:line="240" w:lineRule="auto"/>
        <w:ind w:left="284"/>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06"/>
        <w:gridCol w:w="66"/>
        <w:gridCol w:w="66"/>
        <w:gridCol w:w="81"/>
      </w:tblGrid>
      <w:tr w:rsidR="00F44FB1" w:rsidRPr="00F36F50" w14:paraId="74E267C7" w14:textId="77777777" w:rsidTr="00C92EBD">
        <w:trPr>
          <w:tblCellSpacing w:w="15" w:type="dxa"/>
        </w:trPr>
        <w:tc>
          <w:tcPr>
            <w:tcW w:w="10361" w:type="dxa"/>
            <w:vAlign w:val="center"/>
          </w:tcPr>
          <w:p w14:paraId="3FEE3B68" w14:textId="28FEC67B" w:rsidR="008070DE" w:rsidRPr="00F36F50" w:rsidRDefault="001E1158" w:rsidP="006F7649">
            <w:pPr>
              <w:spacing w:after="0"/>
              <w:rPr>
                <w:rFonts w:ascii="Times New Roman" w:hAnsi="Times New Roman" w:cs="Times New Roman"/>
                <w:sz w:val="24"/>
                <w:szCs w:val="24"/>
              </w:rPr>
            </w:pPr>
            <w:r w:rsidRPr="00F36F50">
              <w:rPr>
                <w:rFonts w:ascii="Times New Roman" w:hAnsi="Times New Roman" w:cs="Times New Roman"/>
                <w:sz w:val="24"/>
                <w:szCs w:val="24"/>
              </w:rPr>
              <w:t>Podstawą określenia prognozowanych przycho</w:t>
            </w:r>
            <w:r w:rsidR="00322364" w:rsidRPr="00F36F50">
              <w:rPr>
                <w:rFonts w:ascii="Times New Roman" w:hAnsi="Times New Roman" w:cs="Times New Roman"/>
                <w:sz w:val="24"/>
                <w:szCs w:val="24"/>
              </w:rPr>
              <w:t xml:space="preserve">dów </w:t>
            </w:r>
            <w:r w:rsidR="00C1247D" w:rsidRPr="00F36F50">
              <w:rPr>
                <w:rFonts w:ascii="Times New Roman" w:hAnsi="Times New Roman" w:cs="Times New Roman"/>
                <w:sz w:val="24"/>
                <w:szCs w:val="24"/>
              </w:rPr>
              <w:t xml:space="preserve"> w roku 2024 oraz w  latach 2025</w:t>
            </w:r>
            <w:r w:rsidR="002547F5">
              <w:rPr>
                <w:rFonts w:ascii="Times New Roman" w:hAnsi="Times New Roman" w:cs="Times New Roman"/>
                <w:sz w:val="24"/>
                <w:szCs w:val="24"/>
              </w:rPr>
              <w:t xml:space="preserve"> r.</w:t>
            </w:r>
            <w:r w:rsidR="00C1247D" w:rsidRPr="00F36F50">
              <w:rPr>
                <w:rFonts w:ascii="Times New Roman" w:hAnsi="Times New Roman" w:cs="Times New Roman"/>
                <w:sz w:val="24"/>
                <w:szCs w:val="24"/>
              </w:rPr>
              <w:t xml:space="preserve"> i 2026</w:t>
            </w:r>
            <w:r w:rsidR="002547F5">
              <w:rPr>
                <w:rFonts w:ascii="Times New Roman" w:hAnsi="Times New Roman" w:cs="Times New Roman"/>
                <w:sz w:val="24"/>
                <w:szCs w:val="24"/>
              </w:rPr>
              <w:t xml:space="preserve"> r.</w:t>
            </w:r>
            <w:r w:rsidR="00C1247D" w:rsidRPr="00F36F50">
              <w:rPr>
                <w:rFonts w:ascii="Times New Roman" w:hAnsi="Times New Roman" w:cs="Times New Roman"/>
                <w:sz w:val="24"/>
                <w:szCs w:val="24"/>
              </w:rPr>
              <w:t xml:space="preserve"> jest rok 2023 jak również średnie wykonanie z 4 miesięcy 2024</w:t>
            </w:r>
            <w:r w:rsidR="002547F5">
              <w:rPr>
                <w:rFonts w:ascii="Times New Roman" w:hAnsi="Times New Roman" w:cs="Times New Roman"/>
                <w:sz w:val="24"/>
                <w:szCs w:val="24"/>
              </w:rPr>
              <w:t xml:space="preserve"> </w:t>
            </w:r>
            <w:r w:rsidR="00C1247D" w:rsidRPr="00F36F50">
              <w:rPr>
                <w:rFonts w:ascii="Times New Roman" w:hAnsi="Times New Roman" w:cs="Times New Roman"/>
                <w:sz w:val="24"/>
                <w:szCs w:val="24"/>
              </w:rPr>
              <w:t>r.</w:t>
            </w:r>
          </w:p>
          <w:p w14:paraId="1BBF9426" w14:textId="77777777" w:rsidR="008070DE" w:rsidRPr="00F36F50" w:rsidRDefault="008070DE" w:rsidP="006F7649">
            <w:pPr>
              <w:spacing w:after="0"/>
              <w:rPr>
                <w:rFonts w:ascii="Times New Roman" w:hAnsi="Times New Roman" w:cs="Times New Roman"/>
                <w:sz w:val="24"/>
                <w:szCs w:val="24"/>
              </w:rPr>
            </w:pPr>
          </w:p>
          <w:p w14:paraId="523F97A5" w14:textId="7511CFAA" w:rsidR="008070DE" w:rsidRPr="00F36F50" w:rsidRDefault="008070DE" w:rsidP="002547F5">
            <w:pPr>
              <w:spacing w:after="0"/>
              <w:jc w:val="both"/>
              <w:rPr>
                <w:rFonts w:ascii="Times New Roman" w:hAnsi="Times New Roman" w:cs="Times New Roman"/>
                <w:sz w:val="24"/>
                <w:szCs w:val="24"/>
              </w:rPr>
            </w:pPr>
            <w:r w:rsidRPr="00F36F50">
              <w:rPr>
                <w:rFonts w:ascii="Times New Roman" w:hAnsi="Times New Roman" w:cs="Times New Roman"/>
                <w:sz w:val="24"/>
                <w:szCs w:val="24"/>
              </w:rPr>
              <w:t>Kontrakt z Narodowym Funduszem Zdrowia stanowi nasze największe  źródło finansowania</w:t>
            </w:r>
          </w:p>
          <w:p w14:paraId="19B0A293" w14:textId="51E22963" w:rsidR="00F44FB1" w:rsidRPr="00F36F50" w:rsidRDefault="008070DE" w:rsidP="002547F5">
            <w:pPr>
              <w:spacing w:after="0"/>
              <w:jc w:val="both"/>
              <w:rPr>
                <w:rFonts w:ascii="Times New Roman" w:hAnsi="Times New Roman" w:cs="Times New Roman"/>
                <w:sz w:val="24"/>
                <w:szCs w:val="24"/>
              </w:rPr>
            </w:pPr>
            <w:r w:rsidRPr="00F36F50">
              <w:rPr>
                <w:rFonts w:ascii="Times New Roman" w:hAnsi="Times New Roman" w:cs="Times New Roman"/>
                <w:sz w:val="24"/>
                <w:szCs w:val="24"/>
              </w:rPr>
              <w:t>dlatego d</w:t>
            </w:r>
            <w:r w:rsidR="007818A1" w:rsidRPr="00F36F50">
              <w:rPr>
                <w:rFonts w:ascii="Times New Roman" w:hAnsi="Times New Roman" w:cs="Times New Roman"/>
                <w:sz w:val="24"/>
                <w:szCs w:val="24"/>
              </w:rPr>
              <w:t>o opracowania niniejszego raportu przyjęto założenie o kontynuacji dotychczasowych  umów zawartych ze Śląskim Oddziałem Wojewódzkim oraz utrzymywanie się populacji Osób zadeklarowanych do SPZOZ Sławków na  dotychczasowym poziomie. Na dzień 31.12.2023</w:t>
            </w:r>
            <w:r w:rsidR="002547F5">
              <w:rPr>
                <w:rFonts w:ascii="Times New Roman" w:hAnsi="Times New Roman" w:cs="Times New Roman"/>
                <w:sz w:val="24"/>
                <w:szCs w:val="24"/>
              </w:rPr>
              <w:t xml:space="preserve"> </w:t>
            </w:r>
            <w:r w:rsidR="007818A1" w:rsidRPr="00F36F50">
              <w:rPr>
                <w:rFonts w:ascii="Times New Roman" w:hAnsi="Times New Roman" w:cs="Times New Roman"/>
                <w:sz w:val="24"/>
                <w:szCs w:val="24"/>
              </w:rPr>
              <w:t>r</w:t>
            </w:r>
            <w:r w:rsidR="002547F5">
              <w:rPr>
                <w:rFonts w:ascii="Times New Roman" w:hAnsi="Times New Roman" w:cs="Times New Roman"/>
                <w:sz w:val="24"/>
                <w:szCs w:val="24"/>
              </w:rPr>
              <w:t>.</w:t>
            </w:r>
            <w:r w:rsidR="007818A1" w:rsidRPr="00F36F50">
              <w:rPr>
                <w:rFonts w:ascii="Times New Roman" w:hAnsi="Times New Roman" w:cs="Times New Roman"/>
                <w:sz w:val="24"/>
                <w:szCs w:val="24"/>
              </w:rPr>
              <w:t xml:space="preserve"> było zadeklarowanych do SPZOZ Sławków</w:t>
            </w:r>
            <w:r w:rsidR="00FE0283" w:rsidRPr="00F36F50">
              <w:rPr>
                <w:rFonts w:ascii="Times New Roman" w:hAnsi="Times New Roman" w:cs="Times New Roman"/>
                <w:sz w:val="24"/>
                <w:szCs w:val="24"/>
              </w:rPr>
              <w:t xml:space="preserve"> 6 615 Pacjentów.</w:t>
            </w:r>
            <w:r w:rsidR="00D8553B" w:rsidRPr="00F36F50">
              <w:rPr>
                <w:rFonts w:ascii="Times New Roman" w:hAnsi="Times New Roman" w:cs="Times New Roman"/>
                <w:sz w:val="24"/>
                <w:szCs w:val="24"/>
              </w:rPr>
              <w:t>`</w:t>
            </w:r>
            <w:r w:rsidR="00C92EBD" w:rsidRPr="00F36F50">
              <w:rPr>
                <w:rFonts w:ascii="Times New Roman" w:hAnsi="Times New Roman" w:cs="Times New Roman"/>
                <w:sz w:val="24"/>
                <w:szCs w:val="24"/>
              </w:rPr>
              <w:t xml:space="preserve">. </w:t>
            </w:r>
          </w:p>
          <w:p w14:paraId="073C9AF3" w14:textId="77777777" w:rsidR="00381C16" w:rsidRDefault="00381C16" w:rsidP="002547F5">
            <w:pPr>
              <w:spacing w:after="0"/>
              <w:jc w:val="both"/>
              <w:rPr>
                <w:rFonts w:ascii="Times New Roman" w:hAnsi="Times New Roman" w:cs="Times New Roman"/>
                <w:sz w:val="24"/>
                <w:szCs w:val="24"/>
              </w:rPr>
            </w:pPr>
          </w:p>
          <w:p w14:paraId="18F50C85" w14:textId="77777777" w:rsidR="00381C16" w:rsidRDefault="00381C16" w:rsidP="002547F5">
            <w:pPr>
              <w:spacing w:after="0"/>
              <w:jc w:val="both"/>
              <w:rPr>
                <w:rFonts w:ascii="Times New Roman" w:hAnsi="Times New Roman" w:cs="Times New Roman"/>
                <w:sz w:val="24"/>
                <w:szCs w:val="24"/>
              </w:rPr>
            </w:pPr>
          </w:p>
          <w:p w14:paraId="019FF8CE" w14:textId="3B11123A" w:rsidR="00D8553B" w:rsidRPr="00F36F50" w:rsidRDefault="00D8553B" w:rsidP="002547F5">
            <w:pPr>
              <w:spacing w:after="0"/>
              <w:jc w:val="both"/>
              <w:rPr>
                <w:rFonts w:ascii="Times New Roman" w:hAnsi="Times New Roman" w:cs="Times New Roman"/>
                <w:sz w:val="24"/>
                <w:szCs w:val="24"/>
              </w:rPr>
            </w:pPr>
            <w:r w:rsidRPr="00F36F50">
              <w:rPr>
                <w:rFonts w:ascii="Times New Roman" w:hAnsi="Times New Roman" w:cs="Times New Roman"/>
                <w:sz w:val="24"/>
                <w:szCs w:val="24"/>
              </w:rPr>
              <w:lastRenderedPageBreak/>
              <w:t xml:space="preserve"> Terminy obowiązywania umów zawartych ze Śląskim Oddziałem Wojewódzkim w Katowicach wyglądają następująco:</w:t>
            </w:r>
          </w:p>
          <w:p w14:paraId="295B2BE8" w14:textId="45E65124" w:rsidR="00D8553B" w:rsidRPr="00F36F50" w:rsidRDefault="00D8553B" w:rsidP="00D8553B">
            <w:pPr>
              <w:pStyle w:val="Akapitzlist"/>
              <w:numPr>
                <w:ilvl w:val="0"/>
                <w:numId w:val="21"/>
              </w:numPr>
            </w:pPr>
            <w:r w:rsidRPr="00F36F50">
              <w:t>Podstawowa Opieka Zdrowotna- umowa zawarta na czas nieokreślony</w:t>
            </w:r>
          </w:p>
          <w:p w14:paraId="020B9803" w14:textId="172440E1" w:rsidR="00D8553B" w:rsidRPr="00F36F50" w:rsidRDefault="00D8553B" w:rsidP="00D8553B">
            <w:pPr>
              <w:pStyle w:val="Akapitzlist"/>
              <w:numPr>
                <w:ilvl w:val="0"/>
                <w:numId w:val="21"/>
              </w:numPr>
            </w:pPr>
            <w:r w:rsidRPr="00F36F50">
              <w:t>Ambulatoryjna Opieka Specjalistyczna -umowa zawarta do dnia 31.12.2024</w:t>
            </w:r>
            <w:r w:rsidR="002547F5">
              <w:t xml:space="preserve"> </w:t>
            </w:r>
            <w:r w:rsidRPr="00F36F50">
              <w:t>r</w:t>
            </w:r>
            <w:r w:rsidR="002547F5">
              <w:t>.</w:t>
            </w:r>
          </w:p>
          <w:p w14:paraId="631427FD" w14:textId="0F0B5D53" w:rsidR="00D8553B" w:rsidRPr="00F36F50" w:rsidRDefault="00D8553B" w:rsidP="00D8553B">
            <w:pPr>
              <w:pStyle w:val="Akapitzlist"/>
              <w:numPr>
                <w:ilvl w:val="0"/>
                <w:numId w:val="21"/>
              </w:numPr>
            </w:pPr>
            <w:r w:rsidRPr="00F36F50">
              <w:t>Rehabilitacja umowa zawarta do dnia 31.12.2024</w:t>
            </w:r>
            <w:r w:rsidR="002547F5">
              <w:t xml:space="preserve"> </w:t>
            </w:r>
            <w:r w:rsidRPr="00F36F50">
              <w:t>r</w:t>
            </w:r>
            <w:r w:rsidR="002547F5">
              <w:t>.</w:t>
            </w:r>
          </w:p>
          <w:p w14:paraId="033AF298" w14:textId="487786D8" w:rsidR="00D8553B" w:rsidRPr="00F36F50" w:rsidRDefault="00D8553B" w:rsidP="00D8553B">
            <w:pPr>
              <w:pStyle w:val="Akapitzlist"/>
              <w:numPr>
                <w:ilvl w:val="0"/>
                <w:numId w:val="21"/>
              </w:numPr>
            </w:pPr>
            <w:r w:rsidRPr="00F36F50">
              <w:t>Stomatologia umowa zawarta do dnia 30.04.2028</w:t>
            </w:r>
            <w:r w:rsidR="002547F5">
              <w:t xml:space="preserve"> </w:t>
            </w:r>
            <w:r w:rsidRPr="00F36F50">
              <w:t>r</w:t>
            </w:r>
            <w:r w:rsidR="002547F5">
              <w:t>.</w:t>
            </w:r>
          </w:p>
          <w:p w14:paraId="2F047455" w14:textId="701E4AE8" w:rsidR="008070DE" w:rsidRPr="00F36F50" w:rsidRDefault="008070DE" w:rsidP="008070DE">
            <w:pPr>
              <w:pStyle w:val="Akapitzlist"/>
            </w:pPr>
            <w:r w:rsidRPr="00F36F50">
              <w:t>Warto również zaznaczyć, że od 1 lipca 2021roku nie obowiązują limity do ambulatoryjnej opieki specjalistycznej i wszystkie prawidłowo rozliczone porady powinny zostać zapłacone.</w:t>
            </w:r>
          </w:p>
          <w:p w14:paraId="64EBA44A" w14:textId="722E4CD4" w:rsidR="00286DAB" w:rsidRPr="00F36F50" w:rsidRDefault="00733B59" w:rsidP="008070DE">
            <w:pPr>
              <w:pStyle w:val="Akapitzlist"/>
            </w:pPr>
            <w:r w:rsidRPr="00F36F50">
              <w:t xml:space="preserve">Pomimo zawartych umów kontraktowych SPZOZ rok rocznie generuje </w:t>
            </w:r>
            <w:proofErr w:type="spellStart"/>
            <w:r w:rsidRPr="00F36F50">
              <w:t>nadwykonania</w:t>
            </w:r>
            <w:proofErr w:type="spellEnd"/>
            <w:r w:rsidRPr="00F36F50">
              <w:t xml:space="preserve"> w AOS oraz rehabilitacji, które w zależności od posiadanych przez ŚOW w Katowicach środków finansowych są nam wypłacane.</w:t>
            </w:r>
          </w:p>
          <w:p w14:paraId="54C847FA" w14:textId="4107A0B6" w:rsidR="00286DAB" w:rsidRPr="00F36F50" w:rsidRDefault="00286DAB" w:rsidP="00286DAB">
            <w:pPr>
              <w:pStyle w:val="NormalnyWeb"/>
            </w:pPr>
            <w:r w:rsidRPr="00F36F50">
              <w:t>Pieniądze na wyższe wynagrodzenia pojawią się, podobnie jak przy poprzednich podwyżkach wynikających z ustawy. Agencja Oceny Technologii Medycznych i Taryfikacji (</w:t>
            </w:r>
            <w:proofErr w:type="spellStart"/>
            <w:r w:rsidRPr="00F36F50">
              <w:t>AOTMiT</w:t>
            </w:r>
            <w:proofErr w:type="spellEnd"/>
            <w:r w:rsidRPr="00F36F50">
              <w:t>)  na podstawie zebranych raportów kadrowych poda wzór pozwalający wyliczyć o ile mają wzrosnąć wyceny świadczeń, by SPZOZ uzyskał wzrost wartości kontraktów zapewniający pokrycie kosztów rosnących płac minimalnych.</w:t>
            </w:r>
          </w:p>
          <w:p w14:paraId="1A061F22" w14:textId="6669B055" w:rsidR="007E451A" w:rsidRPr="00F36F50" w:rsidRDefault="00286DAB" w:rsidP="007E451A">
            <w:pPr>
              <w:pStyle w:val="NormalnyWeb"/>
            </w:pPr>
            <w:r w:rsidRPr="00F36F50">
              <w:t>W prognozie przychodów na rok 2024 oraz lata 2025</w:t>
            </w:r>
            <w:r w:rsidR="002547F5">
              <w:t xml:space="preserve"> r., </w:t>
            </w:r>
            <w:r w:rsidRPr="00F36F50">
              <w:t>2026</w:t>
            </w:r>
            <w:r w:rsidR="002547F5">
              <w:t xml:space="preserve"> r.</w:t>
            </w:r>
            <w:r w:rsidRPr="00F36F50">
              <w:t xml:space="preserve"> przyjęto ich zbilansowanie</w:t>
            </w:r>
          </w:p>
          <w:p w14:paraId="21FAF1FB" w14:textId="77777777" w:rsidR="00C1247D" w:rsidRPr="00381C16" w:rsidRDefault="00C1247D" w:rsidP="006F7649">
            <w:pPr>
              <w:spacing w:after="0"/>
              <w:rPr>
                <w:rFonts w:ascii="Times New Roman" w:eastAsia="Times New Roman" w:hAnsi="Times New Roman" w:cs="Times New Roman"/>
                <w:b/>
                <w:bCs/>
                <w:sz w:val="24"/>
                <w:szCs w:val="24"/>
              </w:rPr>
            </w:pPr>
          </w:p>
          <w:p w14:paraId="34046538" w14:textId="79959C6D" w:rsidR="00F44FB1" w:rsidRPr="00F36F50" w:rsidRDefault="00381C16" w:rsidP="006F7649">
            <w:pPr>
              <w:spacing w:after="0"/>
              <w:rPr>
                <w:rFonts w:ascii="Times New Roman" w:eastAsia="Times New Roman" w:hAnsi="Times New Roman" w:cs="Times New Roman"/>
                <w:sz w:val="24"/>
                <w:szCs w:val="24"/>
              </w:rPr>
            </w:pPr>
            <w:r w:rsidRPr="00381C16">
              <w:rPr>
                <w:rFonts w:ascii="Times New Roman" w:eastAsia="Times New Roman" w:hAnsi="Times New Roman" w:cs="Times New Roman"/>
                <w:b/>
                <w:bCs/>
                <w:sz w:val="24"/>
                <w:szCs w:val="24"/>
              </w:rPr>
              <w:t>P</w:t>
            </w:r>
            <w:r w:rsidR="00F44FB1" w:rsidRPr="00381C16">
              <w:rPr>
                <w:rFonts w:ascii="Times New Roman" w:eastAsia="Times New Roman" w:hAnsi="Times New Roman" w:cs="Times New Roman"/>
                <w:b/>
                <w:bCs/>
                <w:sz w:val="24"/>
                <w:szCs w:val="24"/>
              </w:rPr>
              <w:t>rognoz</w:t>
            </w:r>
            <w:r w:rsidRPr="00381C16">
              <w:rPr>
                <w:rFonts w:ascii="Times New Roman" w:eastAsia="Times New Roman" w:hAnsi="Times New Roman" w:cs="Times New Roman"/>
                <w:b/>
                <w:bCs/>
                <w:sz w:val="24"/>
                <w:szCs w:val="24"/>
              </w:rPr>
              <w:t>a</w:t>
            </w:r>
            <w:r w:rsidR="00F44FB1" w:rsidRPr="00381C16">
              <w:rPr>
                <w:rFonts w:ascii="Times New Roman" w:eastAsia="Times New Roman" w:hAnsi="Times New Roman" w:cs="Times New Roman"/>
                <w:b/>
                <w:bCs/>
                <w:sz w:val="24"/>
                <w:szCs w:val="24"/>
              </w:rPr>
              <w:t xml:space="preserve"> kosztów  SPZOZ na lata:</w:t>
            </w:r>
            <w:r w:rsidR="002547F5" w:rsidRPr="00381C16">
              <w:rPr>
                <w:rFonts w:ascii="Times New Roman" w:eastAsia="Times New Roman" w:hAnsi="Times New Roman" w:cs="Times New Roman"/>
                <w:b/>
                <w:bCs/>
                <w:sz w:val="24"/>
                <w:szCs w:val="24"/>
              </w:rPr>
              <w:t xml:space="preserve"> </w:t>
            </w:r>
            <w:r w:rsidR="00494C5D" w:rsidRPr="00381C16">
              <w:rPr>
                <w:rFonts w:ascii="Times New Roman" w:eastAsia="Times New Roman" w:hAnsi="Times New Roman" w:cs="Times New Roman"/>
                <w:b/>
                <w:bCs/>
                <w:sz w:val="24"/>
                <w:szCs w:val="24"/>
              </w:rPr>
              <w:t>202</w:t>
            </w:r>
            <w:r w:rsidR="00C92EBD" w:rsidRPr="00381C16">
              <w:rPr>
                <w:rFonts w:ascii="Times New Roman" w:eastAsia="Times New Roman" w:hAnsi="Times New Roman" w:cs="Times New Roman"/>
                <w:b/>
                <w:bCs/>
                <w:sz w:val="24"/>
                <w:szCs w:val="24"/>
              </w:rPr>
              <w:t>4</w:t>
            </w:r>
            <w:r w:rsidR="002547F5" w:rsidRPr="00381C16">
              <w:rPr>
                <w:rFonts w:ascii="Times New Roman" w:eastAsia="Times New Roman" w:hAnsi="Times New Roman" w:cs="Times New Roman"/>
                <w:b/>
                <w:bCs/>
                <w:sz w:val="24"/>
                <w:szCs w:val="24"/>
              </w:rPr>
              <w:t xml:space="preserve"> r.</w:t>
            </w:r>
            <w:r w:rsidR="00494C5D" w:rsidRPr="00381C16">
              <w:rPr>
                <w:rFonts w:ascii="Times New Roman" w:eastAsia="Times New Roman" w:hAnsi="Times New Roman" w:cs="Times New Roman"/>
                <w:b/>
                <w:bCs/>
                <w:sz w:val="24"/>
                <w:szCs w:val="24"/>
              </w:rPr>
              <w:t>,</w:t>
            </w:r>
            <w:r w:rsidR="002547F5" w:rsidRPr="00381C16">
              <w:rPr>
                <w:rFonts w:ascii="Times New Roman" w:eastAsia="Times New Roman" w:hAnsi="Times New Roman" w:cs="Times New Roman"/>
                <w:b/>
                <w:bCs/>
                <w:sz w:val="24"/>
                <w:szCs w:val="24"/>
              </w:rPr>
              <w:t xml:space="preserve"> </w:t>
            </w:r>
            <w:r w:rsidR="00494C5D" w:rsidRPr="00381C16">
              <w:rPr>
                <w:rFonts w:ascii="Times New Roman" w:eastAsia="Times New Roman" w:hAnsi="Times New Roman" w:cs="Times New Roman"/>
                <w:b/>
                <w:bCs/>
                <w:sz w:val="24"/>
                <w:szCs w:val="24"/>
              </w:rPr>
              <w:t>202</w:t>
            </w:r>
            <w:r w:rsidR="00C92EBD" w:rsidRPr="00381C16">
              <w:rPr>
                <w:rFonts w:ascii="Times New Roman" w:eastAsia="Times New Roman" w:hAnsi="Times New Roman" w:cs="Times New Roman"/>
                <w:b/>
                <w:bCs/>
                <w:sz w:val="24"/>
                <w:szCs w:val="24"/>
              </w:rPr>
              <w:t>5</w:t>
            </w:r>
            <w:r w:rsidR="002547F5" w:rsidRPr="00381C16">
              <w:rPr>
                <w:rFonts w:ascii="Times New Roman" w:eastAsia="Times New Roman" w:hAnsi="Times New Roman" w:cs="Times New Roman"/>
                <w:b/>
                <w:bCs/>
                <w:sz w:val="24"/>
                <w:szCs w:val="24"/>
              </w:rPr>
              <w:t xml:space="preserve"> r.</w:t>
            </w:r>
            <w:r w:rsidR="00494C5D" w:rsidRPr="00381C16">
              <w:rPr>
                <w:rFonts w:ascii="Times New Roman" w:eastAsia="Times New Roman" w:hAnsi="Times New Roman" w:cs="Times New Roman"/>
                <w:b/>
                <w:bCs/>
                <w:sz w:val="24"/>
                <w:szCs w:val="24"/>
              </w:rPr>
              <w:t>,</w:t>
            </w:r>
            <w:r w:rsidR="002547F5" w:rsidRPr="00381C16">
              <w:rPr>
                <w:rFonts w:ascii="Times New Roman" w:eastAsia="Times New Roman" w:hAnsi="Times New Roman" w:cs="Times New Roman"/>
                <w:b/>
                <w:bCs/>
                <w:sz w:val="24"/>
                <w:szCs w:val="24"/>
              </w:rPr>
              <w:t xml:space="preserve"> </w:t>
            </w:r>
            <w:r w:rsidR="00494C5D" w:rsidRPr="00381C16">
              <w:rPr>
                <w:rFonts w:ascii="Times New Roman" w:eastAsia="Times New Roman" w:hAnsi="Times New Roman" w:cs="Times New Roman"/>
                <w:b/>
                <w:bCs/>
                <w:sz w:val="24"/>
                <w:szCs w:val="24"/>
              </w:rPr>
              <w:t>202</w:t>
            </w:r>
            <w:r w:rsidR="00C92EBD" w:rsidRPr="00381C16">
              <w:rPr>
                <w:rFonts w:ascii="Times New Roman" w:eastAsia="Times New Roman" w:hAnsi="Times New Roman" w:cs="Times New Roman"/>
                <w:b/>
                <w:bCs/>
                <w:sz w:val="24"/>
                <w:szCs w:val="24"/>
              </w:rPr>
              <w:t>6</w:t>
            </w:r>
            <w:r w:rsidR="002547F5" w:rsidRPr="00381C16">
              <w:rPr>
                <w:rFonts w:ascii="Times New Roman" w:eastAsia="Times New Roman" w:hAnsi="Times New Roman" w:cs="Times New Roman"/>
                <w:b/>
                <w:bCs/>
                <w:sz w:val="24"/>
                <w:szCs w:val="24"/>
              </w:rPr>
              <w:t xml:space="preserve"> r.</w:t>
            </w:r>
            <w:r w:rsidR="00F44FB1" w:rsidRPr="00381C16">
              <w:rPr>
                <w:rFonts w:ascii="Times New Roman" w:eastAsia="Times New Roman" w:hAnsi="Times New Roman" w:cs="Times New Roman"/>
                <w:b/>
                <w:bCs/>
                <w:sz w:val="24"/>
                <w:szCs w:val="24"/>
              </w:rPr>
              <w:t xml:space="preserve"> </w:t>
            </w:r>
          </w:p>
          <w:p w14:paraId="0E01B614" w14:textId="17EB3B51" w:rsidR="008070DE" w:rsidRPr="00F36F50" w:rsidRDefault="008070DE" w:rsidP="006F7649">
            <w:pPr>
              <w:spacing w:after="0"/>
              <w:rPr>
                <w:rFonts w:ascii="Times New Roman" w:eastAsia="Times New Roman" w:hAnsi="Times New Roman" w:cs="Times New Roman"/>
                <w:sz w:val="24"/>
                <w:szCs w:val="24"/>
              </w:rPr>
            </w:pPr>
          </w:p>
          <w:p w14:paraId="1A89FCF9" w14:textId="4B5D0ECE" w:rsidR="0071024E" w:rsidRPr="00F36F50" w:rsidRDefault="0071024E" w:rsidP="002547F5">
            <w:pPr>
              <w:spacing w:after="0"/>
              <w:jc w:val="both"/>
              <w:rPr>
                <w:rStyle w:val="Uwydatnienie"/>
                <w:rFonts w:ascii="Times New Roman" w:hAnsi="Times New Roman" w:cs="Times New Roman"/>
                <w:i w:val="0"/>
                <w:iCs w:val="0"/>
                <w:sz w:val="24"/>
                <w:szCs w:val="24"/>
              </w:rPr>
            </w:pPr>
            <w:r w:rsidRPr="00F36F50">
              <w:rPr>
                <w:rFonts w:ascii="Times New Roman" w:eastAsia="Times New Roman" w:hAnsi="Times New Roman" w:cs="Times New Roman"/>
                <w:sz w:val="24"/>
                <w:szCs w:val="24"/>
              </w:rPr>
              <w:t xml:space="preserve">Największy obszar kosztów w SPZOZ Sławków stanowią wynagrodzenia </w:t>
            </w:r>
            <w:r w:rsidR="008A7AD5" w:rsidRPr="00F36F50">
              <w:rPr>
                <w:rFonts w:ascii="Times New Roman" w:eastAsia="Times New Roman" w:hAnsi="Times New Roman" w:cs="Times New Roman"/>
                <w:sz w:val="24"/>
                <w:szCs w:val="24"/>
              </w:rPr>
              <w:t>tj.</w:t>
            </w:r>
            <w:r w:rsidRPr="00F36F50">
              <w:rPr>
                <w:rFonts w:ascii="Times New Roman" w:eastAsia="Times New Roman" w:hAnsi="Times New Roman" w:cs="Times New Roman"/>
                <w:sz w:val="24"/>
                <w:szCs w:val="24"/>
              </w:rPr>
              <w:t xml:space="preserve"> </w:t>
            </w:r>
            <w:r w:rsidR="008A7AD5" w:rsidRPr="00F36F50">
              <w:rPr>
                <w:rFonts w:ascii="Times New Roman" w:eastAsia="Times New Roman" w:hAnsi="Times New Roman" w:cs="Times New Roman"/>
                <w:sz w:val="24"/>
                <w:szCs w:val="24"/>
              </w:rPr>
              <w:t xml:space="preserve">( umowa o pracę  + umowy </w:t>
            </w:r>
            <w:proofErr w:type="spellStart"/>
            <w:r w:rsidR="008A7AD5" w:rsidRPr="00F36F50">
              <w:rPr>
                <w:rFonts w:ascii="Times New Roman" w:eastAsia="Times New Roman" w:hAnsi="Times New Roman" w:cs="Times New Roman"/>
                <w:sz w:val="24"/>
                <w:szCs w:val="24"/>
              </w:rPr>
              <w:t>c.p</w:t>
            </w:r>
            <w:proofErr w:type="spellEnd"/>
            <w:r w:rsidR="008A7AD5" w:rsidRPr="00F36F50">
              <w:rPr>
                <w:rFonts w:ascii="Times New Roman" w:eastAsia="Times New Roman" w:hAnsi="Times New Roman" w:cs="Times New Roman"/>
                <w:sz w:val="24"/>
                <w:szCs w:val="24"/>
              </w:rPr>
              <w:t>.,</w:t>
            </w:r>
            <w:r w:rsidR="0098536F">
              <w:rPr>
                <w:rFonts w:ascii="Times New Roman" w:eastAsia="Times New Roman" w:hAnsi="Times New Roman" w:cs="Times New Roman"/>
                <w:sz w:val="24"/>
                <w:szCs w:val="24"/>
              </w:rPr>
              <w:t>+ pochodne od wynagrodzeń i świadczenia na rzecz pracowników</w:t>
            </w:r>
            <w:r w:rsidR="008A7AD5" w:rsidRPr="00F36F50">
              <w:rPr>
                <w:rFonts w:ascii="Times New Roman" w:eastAsia="Times New Roman" w:hAnsi="Times New Roman" w:cs="Times New Roman"/>
                <w:sz w:val="24"/>
                <w:szCs w:val="24"/>
              </w:rPr>
              <w:t xml:space="preserve"> które w 2023</w:t>
            </w:r>
            <w:r w:rsidR="002547F5">
              <w:rPr>
                <w:rFonts w:ascii="Times New Roman" w:eastAsia="Times New Roman" w:hAnsi="Times New Roman" w:cs="Times New Roman"/>
                <w:sz w:val="24"/>
                <w:szCs w:val="24"/>
              </w:rPr>
              <w:t xml:space="preserve"> </w:t>
            </w:r>
            <w:r w:rsidR="008A7AD5" w:rsidRPr="00F36F50">
              <w:rPr>
                <w:rFonts w:ascii="Times New Roman" w:eastAsia="Times New Roman" w:hAnsi="Times New Roman" w:cs="Times New Roman"/>
                <w:sz w:val="24"/>
                <w:szCs w:val="24"/>
              </w:rPr>
              <w:t>r</w:t>
            </w:r>
            <w:r w:rsidR="002547F5">
              <w:rPr>
                <w:rFonts w:ascii="Times New Roman" w:eastAsia="Times New Roman" w:hAnsi="Times New Roman" w:cs="Times New Roman"/>
                <w:sz w:val="24"/>
                <w:szCs w:val="24"/>
              </w:rPr>
              <w:t>.</w:t>
            </w:r>
            <w:r w:rsidR="008A7AD5" w:rsidRPr="00F36F50">
              <w:rPr>
                <w:rFonts w:ascii="Times New Roman" w:eastAsia="Times New Roman" w:hAnsi="Times New Roman" w:cs="Times New Roman"/>
                <w:sz w:val="24"/>
                <w:szCs w:val="24"/>
              </w:rPr>
              <w:t xml:space="preserve">  wynosiły: </w:t>
            </w:r>
            <w:r w:rsidR="00A80BE4" w:rsidRPr="00F36F50">
              <w:rPr>
                <w:rFonts w:ascii="Times New Roman" w:eastAsia="Times New Roman" w:hAnsi="Times New Roman" w:cs="Times New Roman"/>
                <w:sz w:val="24"/>
                <w:szCs w:val="24"/>
              </w:rPr>
              <w:t xml:space="preserve">około </w:t>
            </w:r>
            <w:r w:rsidR="008A7AD5" w:rsidRPr="00F36F50">
              <w:rPr>
                <w:rFonts w:ascii="Times New Roman" w:eastAsia="Times New Roman" w:hAnsi="Times New Roman" w:cs="Times New Roman"/>
                <w:sz w:val="24"/>
                <w:szCs w:val="24"/>
              </w:rPr>
              <w:t>5</w:t>
            </w:r>
            <w:r w:rsidR="00A80BE4" w:rsidRPr="00F36F50">
              <w:rPr>
                <w:rFonts w:ascii="Times New Roman" w:eastAsia="Times New Roman" w:hAnsi="Times New Roman" w:cs="Times New Roman"/>
                <w:sz w:val="24"/>
                <w:szCs w:val="24"/>
              </w:rPr>
              <w:t>7%</w:t>
            </w:r>
            <w:r w:rsidR="008A7AD5" w:rsidRPr="00F36F50">
              <w:rPr>
                <w:rFonts w:ascii="Times New Roman" w:eastAsia="Times New Roman" w:hAnsi="Times New Roman" w:cs="Times New Roman"/>
                <w:sz w:val="24"/>
                <w:szCs w:val="24"/>
              </w:rPr>
              <w:t xml:space="preserve"> naszych przychodów, </w:t>
            </w:r>
            <w:r w:rsidRPr="00F36F50">
              <w:rPr>
                <w:rFonts w:ascii="Times New Roman" w:eastAsia="Times New Roman" w:hAnsi="Times New Roman" w:cs="Times New Roman"/>
                <w:sz w:val="24"/>
                <w:szCs w:val="24"/>
              </w:rPr>
              <w:t xml:space="preserve">które zgodnie z </w:t>
            </w:r>
            <w:r w:rsidRPr="00F36F50">
              <w:rPr>
                <w:rFonts w:ascii="Times New Roman" w:hAnsi="Times New Roman" w:cs="Times New Roman"/>
                <w:sz w:val="24"/>
                <w:szCs w:val="24"/>
              </w:rPr>
              <w:t xml:space="preserve">Ustawą </w:t>
            </w:r>
            <w:r w:rsidRPr="00F36F50">
              <w:rPr>
                <w:rFonts w:ascii="Times New Roman" w:eastAsia="TimesNewRoman" w:hAnsi="Times New Roman" w:cs="Times New Roman"/>
                <w:sz w:val="24"/>
                <w:szCs w:val="24"/>
              </w:rPr>
              <w:t xml:space="preserve"> </w:t>
            </w:r>
            <w:r w:rsidRPr="00F36F50">
              <w:rPr>
                <w:rFonts w:ascii="Times New Roman" w:hAnsi="Times New Roman" w:cs="Times New Roman"/>
                <w:sz w:val="24"/>
                <w:szCs w:val="24"/>
              </w:rPr>
              <w:t>z dnia 8 czerwca 2017 roku </w:t>
            </w:r>
            <w:r w:rsidRPr="00F36F50">
              <w:rPr>
                <w:rStyle w:val="Uwydatnienie"/>
                <w:rFonts w:ascii="Times New Roman" w:hAnsi="Times New Roman" w:cs="Times New Roman"/>
                <w:i w:val="0"/>
                <w:iCs w:val="0"/>
                <w:sz w:val="24"/>
                <w:szCs w:val="24"/>
              </w:rPr>
              <w:t>o sposobie ustalania najniższego wynagrodzenia zasadniczego niektórych pracowników zatrudnionych w podmiotach leczniczych pracodawca jest zobowiązany zabezpieczyć i zrealizować.</w:t>
            </w:r>
          </w:p>
          <w:p w14:paraId="61BECE4A" w14:textId="2D1F5720" w:rsidR="0071024E" w:rsidRPr="00F36F50" w:rsidRDefault="0071024E" w:rsidP="002547F5">
            <w:pPr>
              <w:spacing w:after="0"/>
              <w:jc w:val="both"/>
              <w:rPr>
                <w:rStyle w:val="Uwydatnienie"/>
                <w:rFonts w:ascii="Times New Roman" w:hAnsi="Times New Roman" w:cs="Times New Roman"/>
                <w:i w:val="0"/>
                <w:iCs w:val="0"/>
                <w:sz w:val="24"/>
                <w:szCs w:val="24"/>
              </w:rPr>
            </w:pPr>
            <w:r w:rsidRPr="00F36F50">
              <w:rPr>
                <w:rStyle w:val="Uwydatnienie"/>
                <w:rFonts w:ascii="Times New Roman" w:hAnsi="Times New Roman" w:cs="Times New Roman"/>
                <w:i w:val="0"/>
                <w:iCs w:val="0"/>
                <w:sz w:val="24"/>
                <w:szCs w:val="24"/>
              </w:rPr>
              <w:t>Drugim znaczącym obszarem są usługi obce stanowiące</w:t>
            </w:r>
            <w:r w:rsidR="008A7AD5" w:rsidRPr="00F36F50">
              <w:rPr>
                <w:rStyle w:val="Uwydatnienie"/>
                <w:rFonts w:ascii="Times New Roman" w:hAnsi="Times New Roman" w:cs="Times New Roman"/>
                <w:i w:val="0"/>
                <w:iCs w:val="0"/>
                <w:sz w:val="24"/>
                <w:szCs w:val="24"/>
              </w:rPr>
              <w:t xml:space="preserve"> w 2023</w:t>
            </w:r>
            <w:r w:rsidR="002547F5">
              <w:rPr>
                <w:rStyle w:val="Uwydatnienie"/>
                <w:rFonts w:ascii="Times New Roman" w:hAnsi="Times New Roman" w:cs="Times New Roman"/>
                <w:i w:val="0"/>
                <w:iCs w:val="0"/>
                <w:sz w:val="24"/>
                <w:szCs w:val="24"/>
              </w:rPr>
              <w:t xml:space="preserve"> </w:t>
            </w:r>
            <w:r w:rsidR="008A7AD5" w:rsidRPr="00F36F50">
              <w:rPr>
                <w:rStyle w:val="Uwydatnienie"/>
                <w:rFonts w:ascii="Times New Roman" w:hAnsi="Times New Roman" w:cs="Times New Roman"/>
                <w:i w:val="0"/>
                <w:iCs w:val="0"/>
                <w:sz w:val="24"/>
                <w:szCs w:val="24"/>
              </w:rPr>
              <w:t>r</w:t>
            </w:r>
            <w:r w:rsidR="002547F5">
              <w:rPr>
                <w:rStyle w:val="Uwydatnienie"/>
                <w:rFonts w:ascii="Times New Roman" w:hAnsi="Times New Roman" w:cs="Times New Roman"/>
                <w:i w:val="0"/>
                <w:iCs w:val="0"/>
                <w:sz w:val="24"/>
                <w:szCs w:val="24"/>
              </w:rPr>
              <w:t>.</w:t>
            </w:r>
            <w:r w:rsidR="008A7AD5" w:rsidRPr="00F36F50">
              <w:rPr>
                <w:rStyle w:val="Uwydatnienie"/>
                <w:rFonts w:ascii="Times New Roman" w:hAnsi="Times New Roman" w:cs="Times New Roman"/>
                <w:i w:val="0"/>
                <w:iCs w:val="0"/>
                <w:sz w:val="24"/>
                <w:szCs w:val="24"/>
              </w:rPr>
              <w:t xml:space="preserve"> </w:t>
            </w:r>
            <w:r w:rsidR="00A80BE4" w:rsidRPr="00F36F50">
              <w:rPr>
                <w:rStyle w:val="Uwydatnienie"/>
                <w:rFonts w:ascii="Times New Roman" w:hAnsi="Times New Roman" w:cs="Times New Roman"/>
                <w:i w:val="0"/>
                <w:iCs w:val="0"/>
                <w:sz w:val="24"/>
                <w:szCs w:val="24"/>
              </w:rPr>
              <w:t>około 31%</w:t>
            </w:r>
            <w:r w:rsidR="008A7AD5" w:rsidRPr="00F36F50">
              <w:rPr>
                <w:rStyle w:val="Uwydatnienie"/>
                <w:rFonts w:ascii="Times New Roman" w:hAnsi="Times New Roman" w:cs="Times New Roman"/>
                <w:i w:val="0"/>
                <w:iCs w:val="0"/>
                <w:sz w:val="24"/>
                <w:szCs w:val="24"/>
              </w:rPr>
              <w:t xml:space="preserve"> naszych przychodów.</w:t>
            </w:r>
          </w:p>
          <w:p w14:paraId="0B42F738" w14:textId="4FC9512B" w:rsidR="008A7AD5" w:rsidRPr="00F36F50" w:rsidRDefault="008A7AD5" w:rsidP="002547F5">
            <w:pPr>
              <w:spacing w:after="0"/>
              <w:jc w:val="both"/>
              <w:rPr>
                <w:rStyle w:val="Uwydatnienie"/>
                <w:rFonts w:ascii="Times New Roman" w:hAnsi="Times New Roman" w:cs="Times New Roman"/>
                <w:i w:val="0"/>
                <w:iCs w:val="0"/>
                <w:sz w:val="24"/>
                <w:szCs w:val="24"/>
              </w:rPr>
            </w:pPr>
            <w:r w:rsidRPr="00F36F50">
              <w:rPr>
                <w:rFonts w:ascii="Times New Roman" w:eastAsia="Times New Roman" w:hAnsi="Times New Roman" w:cs="Times New Roman"/>
                <w:sz w:val="24"/>
                <w:szCs w:val="24"/>
              </w:rPr>
              <w:t xml:space="preserve">Trzecim </w:t>
            </w:r>
            <w:r w:rsidRPr="00F36F50">
              <w:rPr>
                <w:rStyle w:val="Uwydatnienie"/>
                <w:rFonts w:ascii="Times New Roman" w:hAnsi="Times New Roman" w:cs="Times New Roman"/>
                <w:i w:val="0"/>
                <w:iCs w:val="0"/>
                <w:sz w:val="24"/>
                <w:szCs w:val="24"/>
              </w:rPr>
              <w:t xml:space="preserve">obszarem jest zużycie materiałów i energii  stanowiące w 2023r </w:t>
            </w:r>
            <w:r w:rsidR="00A80BE4" w:rsidRPr="00F36F50">
              <w:rPr>
                <w:rStyle w:val="Uwydatnienie"/>
                <w:rFonts w:ascii="Times New Roman" w:hAnsi="Times New Roman" w:cs="Times New Roman"/>
                <w:i w:val="0"/>
                <w:iCs w:val="0"/>
                <w:sz w:val="24"/>
                <w:szCs w:val="24"/>
              </w:rPr>
              <w:t xml:space="preserve">około </w:t>
            </w:r>
            <w:r w:rsidRPr="00F36F50">
              <w:rPr>
                <w:rStyle w:val="Uwydatnienie"/>
                <w:rFonts w:ascii="Times New Roman" w:hAnsi="Times New Roman" w:cs="Times New Roman"/>
                <w:i w:val="0"/>
                <w:iCs w:val="0"/>
                <w:sz w:val="24"/>
                <w:szCs w:val="24"/>
              </w:rPr>
              <w:t>3,</w:t>
            </w:r>
            <w:r w:rsidR="00A80BE4" w:rsidRPr="00F36F50">
              <w:rPr>
                <w:rStyle w:val="Uwydatnienie"/>
                <w:rFonts w:ascii="Times New Roman" w:hAnsi="Times New Roman" w:cs="Times New Roman"/>
                <w:i w:val="0"/>
                <w:iCs w:val="0"/>
                <w:sz w:val="24"/>
                <w:szCs w:val="24"/>
              </w:rPr>
              <w:t>0</w:t>
            </w:r>
            <w:r w:rsidRPr="00F36F50">
              <w:rPr>
                <w:rStyle w:val="Uwydatnienie"/>
                <w:rFonts w:ascii="Times New Roman" w:hAnsi="Times New Roman" w:cs="Times New Roman"/>
                <w:i w:val="0"/>
                <w:iCs w:val="0"/>
                <w:sz w:val="24"/>
                <w:szCs w:val="24"/>
              </w:rPr>
              <w:t>% naszych przychodów.</w:t>
            </w:r>
          </w:p>
          <w:p w14:paraId="22D05DCB" w14:textId="05B9EAFD" w:rsidR="008A7AD5" w:rsidRPr="00F36F50" w:rsidRDefault="008A7AD5" w:rsidP="002547F5">
            <w:pPr>
              <w:spacing w:after="0"/>
              <w:jc w:val="both"/>
              <w:rPr>
                <w:rStyle w:val="Uwydatnienie"/>
                <w:rFonts w:ascii="Times New Roman" w:hAnsi="Times New Roman" w:cs="Times New Roman"/>
                <w:i w:val="0"/>
                <w:iCs w:val="0"/>
                <w:sz w:val="24"/>
                <w:szCs w:val="24"/>
              </w:rPr>
            </w:pPr>
            <w:r w:rsidRPr="00F36F50">
              <w:rPr>
                <w:rFonts w:ascii="Times New Roman" w:eastAsia="Times New Roman" w:hAnsi="Times New Roman" w:cs="Times New Roman"/>
                <w:sz w:val="24"/>
                <w:szCs w:val="24"/>
              </w:rPr>
              <w:t xml:space="preserve">Czwartym </w:t>
            </w:r>
            <w:r w:rsidRPr="00F36F50">
              <w:rPr>
                <w:rStyle w:val="Uwydatnienie"/>
                <w:rFonts w:ascii="Times New Roman" w:hAnsi="Times New Roman" w:cs="Times New Roman"/>
                <w:i w:val="0"/>
                <w:iCs w:val="0"/>
                <w:sz w:val="24"/>
                <w:szCs w:val="24"/>
              </w:rPr>
              <w:t>obszarem jest amortyzacja  stanowiąca w 2023</w:t>
            </w:r>
            <w:r w:rsidR="002547F5">
              <w:rPr>
                <w:rStyle w:val="Uwydatnienie"/>
                <w:rFonts w:ascii="Times New Roman" w:hAnsi="Times New Roman" w:cs="Times New Roman"/>
                <w:i w:val="0"/>
                <w:iCs w:val="0"/>
                <w:sz w:val="24"/>
                <w:szCs w:val="24"/>
              </w:rPr>
              <w:t xml:space="preserve"> </w:t>
            </w:r>
            <w:r w:rsidRPr="00F36F50">
              <w:rPr>
                <w:rStyle w:val="Uwydatnienie"/>
                <w:rFonts w:ascii="Times New Roman" w:hAnsi="Times New Roman" w:cs="Times New Roman"/>
                <w:i w:val="0"/>
                <w:iCs w:val="0"/>
                <w:sz w:val="24"/>
                <w:szCs w:val="24"/>
              </w:rPr>
              <w:t>r</w:t>
            </w:r>
            <w:r w:rsidR="002547F5">
              <w:rPr>
                <w:rStyle w:val="Uwydatnienie"/>
                <w:rFonts w:ascii="Times New Roman" w:hAnsi="Times New Roman" w:cs="Times New Roman"/>
                <w:i w:val="0"/>
                <w:iCs w:val="0"/>
                <w:sz w:val="24"/>
                <w:szCs w:val="24"/>
              </w:rPr>
              <w:t>.</w:t>
            </w:r>
            <w:r w:rsidR="00A80BE4" w:rsidRPr="00F36F50">
              <w:rPr>
                <w:rStyle w:val="Uwydatnienie"/>
                <w:rFonts w:ascii="Times New Roman" w:hAnsi="Times New Roman" w:cs="Times New Roman"/>
                <w:i w:val="0"/>
                <w:iCs w:val="0"/>
                <w:sz w:val="24"/>
                <w:szCs w:val="24"/>
              </w:rPr>
              <w:t xml:space="preserve"> około </w:t>
            </w:r>
            <w:r w:rsidRPr="00F36F50">
              <w:rPr>
                <w:rStyle w:val="Uwydatnienie"/>
                <w:rFonts w:ascii="Times New Roman" w:hAnsi="Times New Roman" w:cs="Times New Roman"/>
                <w:i w:val="0"/>
                <w:iCs w:val="0"/>
                <w:sz w:val="24"/>
                <w:szCs w:val="24"/>
              </w:rPr>
              <w:t xml:space="preserve"> 2,0% naszych przychodów</w:t>
            </w:r>
          </w:p>
          <w:p w14:paraId="2D071964" w14:textId="564B0D5A" w:rsidR="008A7AD5" w:rsidRPr="00F36F50" w:rsidRDefault="008A7AD5" w:rsidP="002547F5">
            <w:pPr>
              <w:spacing w:after="0"/>
              <w:jc w:val="both"/>
              <w:rPr>
                <w:rStyle w:val="Uwydatnienie"/>
                <w:rFonts w:ascii="Times New Roman" w:hAnsi="Times New Roman" w:cs="Times New Roman"/>
                <w:i w:val="0"/>
                <w:iCs w:val="0"/>
                <w:sz w:val="24"/>
                <w:szCs w:val="24"/>
              </w:rPr>
            </w:pPr>
            <w:r w:rsidRPr="00F36F50">
              <w:rPr>
                <w:rFonts w:ascii="Times New Roman" w:eastAsia="Times New Roman" w:hAnsi="Times New Roman" w:cs="Times New Roman"/>
                <w:sz w:val="24"/>
                <w:szCs w:val="24"/>
              </w:rPr>
              <w:t xml:space="preserve">Piątym  </w:t>
            </w:r>
            <w:r w:rsidRPr="00F36F50">
              <w:rPr>
                <w:rStyle w:val="Uwydatnienie"/>
                <w:rFonts w:ascii="Times New Roman" w:hAnsi="Times New Roman" w:cs="Times New Roman"/>
                <w:i w:val="0"/>
                <w:iCs w:val="0"/>
                <w:sz w:val="24"/>
                <w:szCs w:val="24"/>
              </w:rPr>
              <w:t>obszarem s</w:t>
            </w:r>
            <w:r w:rsidR="005F02F6" w:rsidRPr="00F36F50">
              <w:rPr>
                <w:rStyle w:val="Uwydatnienie"/>
                <w:rFonts w:ascii="Times New Roman" w:hAnsi="Times New Roman" w:cs="Times New Roman"/>
                <w:i w:val="0"/>
                <w:iCs w:val="0"/>
                <w:sz w:val="24"/>
                <w:szCs w:val="24"/>
              </w:rPr>
              <w:t>ą</w:t>
            </w:r>
            <w:r w:rsidRPr="00F36F50">
              <w:rPr>
                <w:rStyle w:val="Uwydatnienie"/>
                <w:rFonts w:ascii="Times New Roman" w:hAnsi="Times New Roman" w:cs="Times New Roman"/>
                <w:i w:val="0"/>
                <w:iCs w:val="0"/>
                <w:sz w:val="24"/>
                <w:szCs w:val="24"/>
              </w:rPr>
              <w:t xml:space="preserve"> koszty rodzajowe   stanowiące w 2023</w:t>
            </w:r>
            <w:r w:rsidR="002547F5">
              <w:rPr>
                <w:rStyle w:val="Uwydatnienie"/>
                <w:rFonts w:ascii="Times New Roman" w:hAnsi="Times New Roman" w:cs="Times New Roman"/>
                <w:i w:val="0"/>
                <w:iCs w:val="0"/>
                <w:sz w:val="24"/>
                <w:szCs w:val="24"/>
              </w:rPr>
              <w:t xml:space="preserve"> </w:t>
            </w:r>
            <w:r w:rsidRPr="00F36F50">
              <w:rPr>
                <w:rStyle w:val="Uwydatnienie"/>
                <w:rFonts w:ascii="Times New Roman" w:hAnsi="Times New Roman" w:cs="Times New Roman"/>
                <w:i w:val="0"/>
                <w:iCs w:val="0"/>
                <w:sz w:val="24"/>
                <w:szCs w:val="24"/>
              </w:rPr>
              <w:t>r</w:t>
            </w:r>
            <w:r w:rsidR="002547F5">
              <w:rPr>
                <w:rStyle w:val="Uwydatnienie"/>
                <w:rFonts w:ascii="Times New Roman" w:hAnsi="Times New Roman" w:cs="Times New Roman"/>
                <w:i w:val="0"/>
                <w:iCs w:val="0"/>
                <w:sz w:val="24"/>
                <w:szCs w:val="24"/>
              </w:rPr>
              <w:t>.</w:t>
            </w:r>
            <w:r w:rsidRPr="00F36F50">
              <w:rPr>
                <w:rStyle w:val="Uwydatnienie"/>
                <w:rFonts w:ascii="Times New Roman" w:hAnsi="Times New Roman" w:cs="Times New Roman"/>
                <w:i w:val="0"/>
                <w:iCs w:val="0"/>
                <w:sz w:val="24"/>
                <w:szCs w:val="24"/>
              </w:rPr>
              <w:t xml:space="preserve"> 0,</w:t>
            </w:r>
            <w:r w:rsidR="00A80BE4" w:rsidRPr="00F36F50">
              <w:rPr>
                <w:rStyle w:val="Uwydatnienie"/>
                <w:rFonts w:ascii="Times New Roman" w:hAnsi="Times New Roman" w:cs="Times New Roman"/>
                <w:i w:val="0"/>
                <w:iCs w:val="0"/>
                <w:sz w:val="24"/>
                <w:szCs w:val="24"/>
              </w:rPr>
              <w:t>4</w:t>
            </w:r>
            <w:r w:rsidRPr="00F36F50">
              <w:rPr>
                <w:rStyle w:val="Uwydatnienie"/>
                <w:rFonts w:ascii="Times New Roman" w:hAnsi="Times New Roman" w:cs="Times New Roman"/>
                <w:i w:val="0"/>
                <w:iCs w:val="0"/>
                <w:sz w:val="24"/>
                <w:szCs w:val="24"/>
              </w:rPr>
              <w:t>%% naszych przychodów</w:t>
            </w:r>
          </w:p>
          <w:p w14:paraId="3293D81B" w14:textId="3A641C47" w:rsidR="008A7AD5" w:rsidRPr="00F36F50" w:rsidRDefault="008A7AD5" w:rsidP="002547F5">
            <w:pPr>
              <w:spacing w:after="0"/>
              <w:jc w:val="both"/>
              <w:rPr>
                <w:rFonts w:ascii="Times New Roman" w:eastAsia="Times New Roman" w:hAnsi="Times New Roman" w:cs="Times New Roman"/>
                <w:sz w:val="24"/>
                <w:szCs w:val="24"/>
              </w:rPr>
            </w:pPr>
            <w:r w:rsidRPr="00F36F50">
              <w:rPr>
                <w:rFonts w:ascii="Times New Roman" w:eastAsia="Times New Roman" w:hAnsi="Times New Roman" w:cs="Times New Roman"/>
                <w:sz w:val="24"/>
                <w:szCs w:val="24"/>
              </w:rPr>
              <w:t xml:space="preserve">Szóstym </w:t>
            </w:r>
            <w:r w:rsidRPr="00F36F50">
              <w:rPr>
                <w:rStyle w:val="Uwydatnienie"/>
                <w:rFonts w:ascii="Times New Roman" w:hAnsi="Times New Roman" w:cs="Times New Roman"/>
                <w:i w:val="0"/>
                <w:iCs w:val="0"/>
                <w:sz w:val="24"/>
                <w:szCs w:val="24"/>
              </w:rPr>
              <w:t>obszarem jest podatek od nieruchomości stanowiący w 2023</w:t>
            </w:r>
            <w:r w:rsidR="002547F5">
              <w:rPr>
                <w:rStyle w:val="Uwydatnienie"/>
                <w:rFonts w:ascii="Times New Roman" w:hAnsi="Times New Roman" w:cs="Times New Roman"/>
                <w:i w:val="0"/>
                <w:iCs w:val="0"/>
                <w:sz w:val="24"/>
                <w:szCs w:val="24"/>
              </w:rPr>
              <w:t xml:space="preserve"> </w:t>
            </w:r>
            <w:r w:rsidRPr="00F36F50">
              <w:rPr>
                <w:rStyle w:val="Uwydatnienie"/>
                <w:rFonts w:ascii="Times New Roman" w:hAnsi="Times New Roman" w:cs="Times New Roman"/>
                <w:i w:val="0"/>
                <w:iCs w:val="0"/>
                <w:sz w:val="24"/>
                <w:szCs w:val="24"/>
              </w:rPr>
              <w:t>r</w:t>
            </w:r>
            <w:r w:rsidR="002547F5">
              <w:rPr>
                <w:rStyle w:val="Uwydatnienie"/>
                <w:rFonts w:ascii="Times New Roman" w:hAnsi="Times New Roman" w:cs="Times New Roman"/>
                <w:i w:val="0"/>
                <w:iCs w:val="0"/>
                <w:sz w:val="24"/>
                <w:szCs w:val="24"/>
              </w:rPr>
              <w:t>.</w:t>
            </w:r>
            <w:r w:rsidRPr="00F36F50">
              <w:rPr>
                <w:rStyle w:val="Uwydatnienie"/>
                <w:rFonts w:ascii="Times New Roman" w:hAnsi="Times New Roman" w:cs="Times New Roman"/>
                <w:i w:val="0"/>
                <w:iCs w:val="0"/>
                <w:sz w:val="24"/>
                <w:szCs w:val="24"/>
              </w:rPr>
              <w:t xml:space="preserve"> 0,</w:t>
            </w:r>
            <w:r w:rsidR="00A80BE4" w:rsidRPr="00F36F50">
              <w:rPr>
                <w:rStyle w:val="Uwydatnienie"/>
                <w:rFonts w:ascii="Times New Roman" w:hAnsi="Times New Roman" w:cs="Times New Roman"/>
                <w:i w:val="0"/>
                <w:iCs w:val="0"/>
                <w:sz w:val="24"/>
                <w:szCs w:val="24"/>
              </w:rPr>
              <w:t>3</w:t>
            </w:r>
            <w:r w:rsidRPr="00F36F50">
              <w:rPr>
                <w:rStyle w:val="Uwydatnienie"/>
                <w:rFonts w:ascii="Times New Roman" w:hAnsi="Times New Roman" w:cs="Times New Roman"/>
                <w:i w:val="0"/>
                <w:iCs w:val="0"/>
                <w:sz w:val="24"/>
                <w:szCs w:val="24"/>
              </w:rPr>
              <w:t xml:space="preserve"> % naszych przychodów</w:t>
            </w:r>
          </w:p>
          <w:p w14:paraId="35D288F3" w14:textId="24FE9857" w:rsidR="00F44FB1" w:rsidRPr="00F36F50" w:rsidRDefault="00F44FB1" w:rsidP="006F7649">
            <w:pPr>
              <w:spacing w:after="0"/>
              <w:rPr>
                <w:rFonts w:ascii="Times New Roman" w:eastAsia="Times New Roman" w:hAnsi="Times New Roman" w:cs="Times New Roman"/>
                <w:sz w:val="24"/>
                <w:szCs w:val="24"/>
              </w:rPr>
            </w:pPr>
          </w:p>
        </w:tc>
        <w:tc>
          <w:tcPr>
            <w:tcW w:w="0" w:type="auto"/>
            <w:vAlign w:val="center"/>
          </w:tcPr>
          <w:p w14:paraId="68DC9449" w14:textId="77777777" w:rsidR="00F44FB1" w:rsidRPr="00F36F50" w:rsidRDefault="00F44FB1" w:rsidP="006F7649">
            <w:pPr>
              <w:spacing w:after="0"/>
              <w:rPr>
                <w:rFonts w:ascii="Times New Roman" w:eastAsia="Times New Roman" w:hAnsi="Times New Roman" w:cs="Times New Roman"/>
                <w:sz w:val="24"/>
                <w:szCs w:val="24"/>
              </w:rPr>
            </w:pPr>
          </w:p>
        </w:tc>
        <w:tc>
          <w:tcPr>
            <w:tcW w:w="0" w:type="auto"/>
            <w:vAlign w:val="center"/>
          </w:tcPr>
          <w:p w14:paraId="7131B5B1" w14:textId="77777777" w:rsidR="00F44FB1" w:rsidRPr="00F36F50" w:rsidRDefault="00F44FB1" w:rsidP="006F7649">
            <w:pPr>
              <w:spacing w:after="0"/>
              <w:rPr>
                <w:rFonts w:ascii="Times New Roman" w:eastAsia="Times New Roman" w:hAnsi="Times New Roman" w:cs="Times New Roman"/>
                <w:sz w:val="24"/>
                <w:szCs w:val="24"/>
              </w:rPr>
            </w:pPr>
          </w:p>
        </w:tc>
        <w:tc>
          <w:tcPr>
            <w:tcW w:w="0" w:type="auto"/>
            <w:vAlign w:val="center"/>
          </w:tcPr>
          <w:p w14:paraId="1B144D33" w14:textId="33E0D6C3" w:rsidR="00F44FB1" w:rsidRPr="00F36F50" w:rsidRDefault="00F44FB1" w:rsidP="006F7649">
            <w:pPr>
              <w:spacing w:after="0"/>
              <w:rPr>
                <w:rFonts w:ascii="Times New Roman" w:eastAsia="Times New Roman" w:hAnsi="Times New Roman" w:cs="Times New Roman"/>
                <w:sz w:val="24"/>
                <w:szCs w:val="24"/>
              </w:rPr>
            </w:pPr>
            <w:r w:rsidRPr="00F36F50">
              <w:rPr>
                <w:rFonts w:ascii="Times New Roman" w:eastAsia="Times New Roman" w:hAnsi="Times New Roman" w:cs="Times New Roman"/>
                <w:sz w:val="24"/>
                <w:szCs w:val="24"/>
              </w:rPr>
              <w:t xml:space="preserve"> </w:t>
            </w:r>
          </w:p>
        </w:tc>
      </w:tr>
    </w:tbl>
    <w:p w14:paraId="4FE88F37" w14:textId="4F6132D9" w:rsidR="00C92EBD" w:rsidRPr="00765010" w:rsidRDefault="0071024E" w:rsidP="002547F5">
      <w:pPr>
        <w:autoSpaceDE w:val="0"/>
        <w:autoSpaceDN w:val="0"/>
        <w:adjustRightInd w:val="0"/>
        <w:spacing w:after="0"/>
        <w:jc w:val="both"/>
        <w:rPr>
          <w:rFonts w:ascii="Times New Roman" w:eastAsia="TimesNewRoman" w:hAnsi="Times New Roman" w:cs="Times New Roman"/>
          <w:sz w:val="24"/>
          <w:szCs w:val="24"/>
        </w:rPr>
      </w:pPr>
      <w:r w:rsidRPr="00F36F50">
        <w:rPr>
          <w:rFonts w:ascii="Times New Roman" w:hAnsi="Times New Roman" w:cs="Times New Roman"/>
          <w:sz w:val="24"/>
          <w:szCs w:val="24"/>
        </w:rPr>
        <w:t xml:space="preserve"> W prognozie na lata 2024</w:t>
      </w:r>
      <w:r w:rsidR="002547F5">
        <w:rPr>
          <w:rFonts w:ascii="Times New Roman" w:hAnsi="Times New Roman" w:cs="Times New Roman"/>
          <w:sz w:val="24"/>
          <w:szCs w:val="24"/>
        </w:rPr>
        <w:t xml:space="preserve"> r.</w:t>
      </w:r>
      <w:r w:rsidRPr="00F36F50">
        <w:rPr>
          <w:rFonts w:ascii="Times New Roman" w:hAnsi="Times New Roman" w:cs="Times New Roman"/>
          <w:sz w:val="24"/>
          <w:szCs w:val="24"/>
        </w:rPr>
        <w:t>,</w:t>
      </w:r>
      <w:r w:rsidR="002547F5">
        <w:rPr>
          <w:rFonts w:ascii="Times New Roman" w:hAnsi="Times New Roman" w:cs="Times New Roman"/>
          <w:sz w:val="24"/>
          <w:szCs w:val="24"/>
        </w:rPr>
        <w:t xml:space="preserve"> </w:t>
      </w:r>
      <w:r w:rsidRPr="00F36F50">
        <w:rPr>
          <w:rFonts w:ascii="Times New Roman" w:hAnsi="Times New Roman" w:cs="Times New Roman"/>
          <w:sz w:val="24"/>
          <w:szCs w:val="24"/>
        </w:rPr>
        <w:t>2025</w:t>
      </w:r>
      <w:r w:rsidR="002547F5">
        <w:rPr>
          <w:rFonts w:ascii="Times New Roman" w:hAnsi="Times New Roman" w:cs="Times New Roman"/>
          <w:sz w:val="24"/>
          <w:szCs w:val="24"/>
        </w:rPr>
        <w:t xml:space="preserve"> r.</w:t>
      </w:r>
      <w:r w:rsidRPr="00F36F50">
        <w:rPr>
          <w:rFonts w:ascii="Times New Roman" w:hAnsi="Times New Roman" w:cs="Times New Roman"/>
          <w:sz w:val="24"/>
          <w:szCs w:val="24"/>
        </w:rPr>
        <w:t>,</w:t>
      </w:r>
      <w:r w:rsidR="002547F5">
        <w:rPr>
          <w:rFonts w:ascii="Times New Roman" w:hAnsi="Times New Roman" w:cs="Times New Roman"/>
          <w:sz w:val="24"/>
          <w:szCs w:val="24"/>
        </w:rPr>
        <w:t xml:space="preserve"> </w:t>
      </w:r>
      <w:r w:rsidRPr="00F36F50">
        <w:rPr>
          <w:rFonts w:ascii="Times New Roman" w:hAnsi="Times New Roman" w:cs="Times New Roman"/>
          <w:sz w:val="24"/>
          <w:szCs w:val="24"/>
        </w:rPr>
        <w:t>2026</w:t>
      </w:r>
      <w:r w:rsidR="002547F5">
        <w:rPr>
          <w:rFonts w:ascii="Times New Roman" w:hAnsi="Times New Roman" w:cs="Times New Roman"/>
          <w:sz w:val="24"/>
          <w:szCs w:val="24"/>
        </w:rPr>
        <w:t xml:space="preserve"> r.</w:t>
      </w:r>
      <w:r w:rsidRPr="00F36F50">
        <w:rPr>
          <w:rFonts w:ascii="Times New Roman" w:hAnsi="Times New Roman" w:cs="Times New Roman"/>
          <w:sz w:val="24"/>
          <w:szCs w:val="24"/>
        </w:rPr>
        <w:t xml:space="preserve"> dokonano z</w:t>
      </w:r>
      <w:r w:rsidR="00F44FB1" w:rsidRPr="00F36F50">
        <w:rPr>
          <w:rFonts w:ascii="Times New Roman" w:hAnsi="Times New Roman" w:cs="Times New Roman"/>
          <w:sz w:val="24"/>
          <w:szCs w:val="24"/>
        </w:rPr>
        <w:t>abezpi</w:t>
      </w:r>
      <w:r w:rsidRPr="00F36F50">
        <w:rPr>
          <w:rFonts w:ascii="Times New Roman" w:hAnsi="Times New Roman" w:cs="Times New Roman"/>
          <w:sz w:val="24"/>
          <w:szCs w:val="24"/>
        </w:rPr>
        <w:t xml:space="preserve">eczono </w:t>
      </w:r>
      <w:r w:rsidR="00F44FB1" w:rsidRPr="00F36F50">
        <w:rPr>
          <w:rFonts w:ascii="Times New Roman" w:hAnsi="Times New Roman" w:cs="Times New Roman"/>
          <w:sz w:val="24"/>
          <w:szCs w:val="24"/>
        </w:rPr>
        <w:t xml:space="preserve"> środk</w:t>
      </w:r>
      <w:r w:rsidRPr="00F36F50">
        <w:rPr>
          <w:rFonts w:ascii="Times New Roman" w:hAnsi="Times New Roman" w:cs="Times New Roman"/>
          <w:sz w:val="24"/>
          <w:szCs w:val="24"/>
        </w:rPr>
        <w:t>ów</w:t>
      </w:r>
      <w:r w:rsidR="00F44FB1" w:rsidRPr="00F36F50">
        <w:rPr>
          <w:rFonts w:ascii="Times New Roman" w:hAnsi="Times New Roman" w:cs="Times New Roman"/>
          <w:sz w:val="24"/>
          <w:szCs w:val="24"/>
        </w:rPr>
        <w:t xml:space="preserve"> na realizacj</w:t>
      </w:r>
      <w:r w:rsidR="006C67A9" w:rsidRPr="00F36F50">
        <w:rPr>
          <w:rFonts w:ascii="Times New Roman" w:hAnsi="Times New Roman" w:cs="Times New Roman"/>
          <w:sz w:val="24"/>
          <w:szCs w:val="24"/>
        </w:rPr>
        <w:t xml:space="preserve">ę </w:t>
      </w:r>
      <w:r w:rsidR="00F44FB1" w:rsidRPr="00F36F50">
        <w:rPr>
          <w:rFonts w:ascii="Times New Roman" w:hAnsi="Times New Roman" w:cs="Times New Roman"/>
          <w:sz w:val="24"/>
          <w:szCs w:val="24"/>
        </w:rPr>
        <w:t xml:space="preserve">Ustawy </w:t>
      </w:r>
      <w:r w:rsidR="00C92EBD" w:rsidRPr="00F36F50">
        <w:rPr>
          <w:rFonts w:ascii="Times New Roman" w:hAnsi="Times New Roman" w:cs="Times New Roman"/>
          <w:sz w:val="24"/>
          <w:szCs w:val="24"/>
        </w:rPr>
        <w:t xml:space="preserve">z dnia </w:t>
      </w:r>
      <w:r w:rsidR="002547F5">
        <w:rPr>
          <w:rFonts w:ascii="Times New Roman" w:hAnsi="Times New Roman" w:cs="Times New Roman"/>
          <w:sz w:val="24"/>
          <w:szCs w:val="24"/>
        </w:rPr>
        <w:t xml:space="preserve">            </w:t>
      </w:r>
      <w:r w:rsidR="00C92EBD" w:rsidRPr="00F36F50">
        <w:rPr>
          <w:rFonts w:ascii="Times New Roman" w:hAnsi="Times New Roman" w:cs="Times New Roman"/>
          <w:sz w:val="24"/>
          <w:szCs w:val="24"/>
        </w:rPr>
        <w:t>8 czerwca 2017 roku </w:t>
      </w:r>
      <w:r w:rsidR="00C92EBD" w:rsidRPr="00F36F50">
        <w:rPr>
          <w:rStyle w:val="Uwydatnienie"/>
          <w:rFonts w:ascii="Times New Roman" w:hAnsi="Times New Roman" w:cs="Times New Roman"/>
          <w:i w:val="0"/>
          <w:iCs w:val="0"/>
          <w:sz w:val="24"/>
          <w:szCs w:val="24"/>
        </w:rPr>
        <w:t xml:space="preserve">o sposobie ustalania najniższego wynagrodzenia zasadniczego niektórych pracowników zatrudnionych w podmiotach leczniczych na </w:t>
      </w:r>
      <w:r w:rsidR="00F44FB1" w:rsidRPr="00F36F50">
        <w:rPr>
          <w:rFonts w:ascii="Times New Roman" w:eastAsia="TimesNewRoman" w:hAnsi="Times New Roman" w:cs="Times New Roman"/>
          <w:sz w:val="24"/>
          <w:szCs w:val="24"/>
        </w:rPr>
        <w:t xml:space="preserve"> okres od 01.07.202</w:t>
      </w:r>
      <w:r w:rsidR="00C92EBD" w:rsidRPr="00F36F50">
        <w:rPr>
          <w:rFonts w:ascii="Times New Roman" w:eastAsia="TimesNewRoman" w:hAnsi="Times New Roman" w:cs="Times New Roman"/>
          <w:sz w:val="24"/>
          <w:szCs w:val="24"/>
        </w:rPr>
        <w:t>4</w:t>
      </w:r>
      <w:r w:rsidR="002547F5">
        <w:rPr>
          <w:rFonts w:ascii="Times New Roman" w:eastAsia="TimesNewRoman" w:hAnsi="Times New Roman" w:cs="Times New Roman"/>
          <w:sz w:val="24"/>
          <w:szCs w:val="24"/>
        </w:rPr>
        <w:t xml:space="preserve"> </w:t>
      </w:r>
      <w:r w:rsidR="00F44FB1" w:rsidRPr="00F36F50">
        <w:rPr>
          <w:rFonts w:ascii="Times New Roman" w:eastAsia="TimesNewRoman" w:hAnsi="Times New Roman" w:cs="Times New Roman"/>
          <w:sz w:val="24"/>
          <w:szCs w:val="24"/>
        </w:rPr>
        <w:t>r</w:t>
      </w:r>
      <w:r w:rsidR="002547F5">
        <w:rPr>
          <w:rFonts w:ascii="Times New Roman" w:eastAsia="TimesNewRoman" w:hAnsi="Times New Roman" w:cs="Times New Roman"/>
          <w:sz w:val="24"/>
          <w:szCs w:val="24"/>
        </w:rPr>
        <w:t xml:space="preserve">. </w:t>
      </w:r>
      <w:r w:rsidR="00F44FB1" w:rsidRPr="00F36F50">
        <w:rPr>
          <w:rFonts w:ascii="Times New Roman" w:eastAsia="TimesNewRoman" w:hAnsi="Times New Roman" w:cs="Times New Roman"/>
          <w:sz w:val="24"/>
          <w:szCs w:val="24"/>
        </w:rPr>
        <w:t>-</w:t>
      </w:r>
      <w:r w:rsidR="002547F5">
        <w:rPr>
          <w:rFonts w:ascii="Times New Roman" w:eastAsia="TimesNewRoman" w:hAnsi="Times New Roman" w:cs="Times New Roman"/>
          <w:sz w:val="24"/>
          <w:szCs w:val="24"/>
        </w:rPr>
        <w:t xml:space="preserve"> </w:t>
      </w:r>
      <w:r w:rsidR="00F44FB1" w:rsidRPr="00F36F50">
        <w:rPr>
          <w:rFonts w:ascii="Times New Roman" w:eastAsia="TimesNewRoman" w:hAnsi="Times New Roman" w:cs="Times New Roman"/>
          <w:sz w:val="24"/>
          <w:szCs w:val="24"/>
        </w:rPr>
        <w:t>31.12.202</w:t>
      </w:r>
      <w:r w:rsidR="00C92EBD" w:rsidRPr="00F36F50">
        <w:rPr>
          <w:rFonts w:ascii="Times New Roman" w:eastAsia="TimesNewRoman" w:hAnsi="Times New Roman" w:cs="Times New Roman"/>
          <w:sz w:val="24"/>
          <w:szCs w:val="24"/>
        </w:rPr>
        <w:t>4</w:t>
      </w:r>
      <w:r w:rsidR="002547F5">
        <w:rPr>
          <w:rFonts w:ascii="Times New Roman" w:eastAsia="TimesNewRoman" w:hAnsi="Times New Roman" w:cs="Times New Roman"/>
          <w:sz w:val="24"/>
          <w:szCs w:val="24"/>
        </w:rPr>
        <w:t xml:space="preserve"> </w:t>
      </w:r>
      <w:r w:rsidR="00F44FB1" w:rsidRPr="00F36F50">
        <w:rPr>
          <w:rFonts w:ascii="Times New Roman" w:eastAsia="TimesNewRoman" w:hAnsi="Times New Roman" w:cs="Times New Roman"/>
          <w:sz w:val="24"/>
          <w:szCs w:val="24"/>
        </w:rPr>
        <w:t>r</w:t>
      </w:r>
      <w:r w:rsidR="002547F5">
        <w:rPr>
          <w:rFonts w:ascii="Times New Roman" w:eastAsia="TimesNewRoman" w:hAnsi="Times New Roman" w:cs="Times New Roman"/>
          <w:sz w:val="24"/>
          <w:szCs w:val="24"/>
        </w:rPr>
        <w:t>.</w:t>
      </w:r>
      <w:r w:rsidR="00F44FB1" w:rsidRPr="00F36F50">
        <w:rPr>
          <w:rFonts w:ascii="Times New Roman" w:eastAsia="TimesNewRoman" w:hAnsi="Times New Roman" w:cs="Times New Roman"/>
          <w:sz w:val="24"/>
          <w:szCs w:val="24"/>
        </w:rPr>
        <w:t xml:space="preserve"> oraz kontynuacj</w:t>
      </w:r>
      <w:r w:rsidR="006C67A9" w:rsidRPr="00F36F50">
        <w:rPr>
          <w:rFonts w:ascii="Times New Roman" w:eastAsia="TimesNewRoman" w:hAnsi="Times New Roman" w:cs="Times New Roman"/>
          <w:sz w:val="24"/>
          <w:szCs w:val="24"/>
        </w:rPr>
        <w:t xml:space="preserve">ę </w:t>
      </w:r>
      <w:r w:rsidR="00F44FB1" w:rsidRPr="00F36F50">
        <w:rPr>
          <w:rFonts w:ascii="Times New Roman" w:eastAsia="TimesNewRoman" w:hAnsi="Times New Roman" w:cs="Times New Roman"/>
          <w:sz w:val="24"/>
          <w:szCs w:val="24"/>
        </w:rPr>
        <w:t xml:space="preserve"> zobowiązania </w:t>
      </w:r>
      <w:r w:rsidR="006C67A9" w:rsidRPr="00F36F50">
        <w:rPr>
          <w:rFonts w:ascii="Times New Roman" w:eastAsia="TimesNewRoman" w:hAnsi="Times New Roman" w:cs="Times New Roman"/>
          <w:sz w:val="24"/>
          <w:szCs w:val="24"/>
        </w:rPr>
        <w:t xml:space="preserve">pracodawcy </w:t>
      </w:r>
      <w:r w:rsidR="00F44FB1" w:rsidRPr="00F36F50">
        <w:rPr>
          <w:rFonts w:ascii="Times New Roman" w:eastAsia="TimesNewRoman" w:hAnsi="Times New Roman" w:cs="Times New Roman"/>
          <w:sz w:val="24"/>
          <w:szCs w:val="24"/>
        </w:rPr>
        <w:t>na lata</w:t>
      </w:r>
      <w:r w:rsidR="006C67A9" w:rsidRPr="00F36F50">
        <w:rPr>
          <w:rFonts w:ascii="Times New Roman" w:eastAsia="TimesNewRoman" w:hAnsi="Times New Roman" w:cs="Times New Roman"/>
          <w:sz w:val="24"/>
          <w:szCs w:val="24"/>
        </w:rPr>
        <w:t>:</w:t>
      </w:r>
      <w:r w:rsidR="00F44FB1" w:rsidRPr="00F36F50">
        <w:rPr>
          <w:rFonts w:ascii="Times New Roman" w:eastAsia="TimesNewRoman" w:hAnsi="Times New Roman" w:cs="Times New Roman"/>
          <w:sz w:val="24"/>
          <w:szCs w:val="24"/>
        </w:rPr>
        <w:t xml:space="preserve"> 202</w:t>
      </w:r>
      <w:r w:rsidR="00C92EBD" w:rsidRPr="00F36F50">
        <w:rPr>
          <w:rFonts w:ascii="Times New Roman" w:eastAsia="TimesNewRoman" w:hAnsi="Times New Roman" w:cs="Times New Roman"/>
          <w:sz w:val="24"/>
          <w:szCs w:val="24"/>
        </w:rPr>
        <w:t>5</w:t>
      </w:r>
      <w:r w:rsidR="002547F5">
        <w:rPr>
          <w:rFonts w:ascii="Times New Roman" w:eastAsia="TimesNewRoman" w:hAnsi="Times New Roman" w:cs="Times New Roman"/>
          <w:sz w:val="24"/>
          <w:szCs w:val="24"/>
        </w:rPr>
        <w:t xml:space="preserve"> r.</w:t>
      </w:r>
      <w:r w:rsidR="00F44FB1" w:rsidRPr="00F36F50">
        <w:rPr>
          <w:rFonts w:ascii="Times New Roman" w:eastAsia="TimesNewRoman" w:hAnsi="Times New Roman" w:cs="Times New Roman"/>
          <w:sz w:val="24"/>
          <w:szCs w:val="24"/>
        </w:rPr>
        <w:t xml:space="preserve"> i 202</w:t>
      </w:r>
      <w:r w:rsidR="00C92EBD" w:rsidRPr="00F36F50">
        <w:rPr>
          <w:rFonts w:ascii="Times New Roman" w:eastAsia="TimesNewRoman" w:hAnsi="Times New Roman" w:cs="Times New Roman"/>
          <w:sz w:val="24"/>
          <w:szCs w:val="24"/>
        </w:rPr>
        <w:t>6</w:t>
      </w:r>
      <w:r w:rsidR="002547F5">
        <w:rPr>
          <w:rFonts w:ascii="Times New Roman" w:eastAsia="TimesNewRoman" w:hAnsi="Times New Roman" w:cs="Times New Roman"/>
          <w:sz w:val="24"/>
          <w:szCs w:val="24"/>
        </w:rPr>
        <w:t xml:space="preserve"> r.</w:t>
      </w:r>
      <w:r w:rsidRPr="00F36F50">
        <w:rPr>
          <w:rFonts w:ascii="Times New Roman" w:eastAsia="TimesNewRoman" w:hAnsi="Times New Roman" w:cs="Times New Roman"/>
          <w:sz w:val="24"/>
          <w:szCs w:val="24"/>
        </w:rPr>
        <w:t xml:space="preserve"> wraz z pochodnymi tj. ZUS. Uwzględniono nagrody jub</w:t>
      </w:r>
      <w:r w:rsidRPr="00765010">
        <w:rPr>
          <w:rFonts w:ascii="Times New Roman" w:eastAsia="TimesNewRoman" w:hAnsi="Times New Roman" w:cs="Times New Roman"/>
          <w:sz w:val="24"/>
          <w:szCs w:val="24"/>
        </w:rPr>
        <w:t xml:space="preserve">ileuszowe oraz osoby przebywające na urlopach wychowawczych. </w:t>
      </w:r>
    </w:p>
    <w:p w14:paraId="3D32544F" w14:textId="087679F4" w:rsidR="0071024E" w:rsidRPr="00765010" w:rsidRDefault="0071024E" w:rsidP="002547F5">
      <w:pPr>
        <w:autoSpaceDE w:val="0"/>
        <w:autoSpaceDN w:val="0"/>
        <w:adjustRightInd w:val="0"/>
        <w:spacing w:after="0"/>
        <w:jc w:val="both"/>
        <w:rPr>
          <w:rFonts w:ascii="Times New Roman" w:eastAsia="TimesNewRoman" w:hAnsi="Times New Roman" w:cs="Times New Roman"/>
          <w:sz w:val="24"/>
          <w:szCs w:val="24"/>
        </w:rPr>
      </w:pPr>
      <w:r w:rsidRPr="00765010">
        <w:rPr>
          <w:rFonts w:ascii="Times New Roman" w:eastAsia="TimesNewRoman" w:hAnsi="Times New Roman" w:cs="Times New Roman"/>
          <w:sz w:val="24"/>
          <w:szCs w:val="24"/>
        </w:rPr>
        <w:t>Dokonano przeliczenia i ustalenia kwot zleceniobiorców na wymagane okresy z uwzględnieniem zawartych umów oraz obowiązującej</w:t>
      </w:r>
      <w:r w:rsidR="00381C16">
        <w:rPr>
          <w:rFonts w:ascii="Times New Roman" w:eastAsia="TimesNewRoman" w:hAnsi="Times New Roman" w:cs="Times New Roman"/>
          <w:sz w:val="24"/>
          <w:szCs w:val="24"/>
        </w:rPr>
        <w:t xml:space="preserve"> w 2024 dwukrotnej</w:t>
      </w:r>
      <w:r w:rsidRPr="00765010">
        <w:rPr>
          <w:rFonts w:ascii="Times New Roman" w:eastAsia="TimesNewRoman" w:hAnsi="Times New Roman" w:cs="Times New Roman"/>
          <w:sz w:val="24"/>
          <w:szCs w:val="24"/>
        </w:rPr>
        <w:t xml:space="preserve"> płacy minimalnej</w:t>
      </w:r>
      <w:r w:rsidR="00381C16">
        <w:rPr>
          <w:rFonts w:ascii="Times New Roman" w:eastAsia="TimesNewRoman" w:hAnsi="Times New Roman" w:cs="Times New Roman"/>
          <w:sz w:val="24"/>
          <w:szCs w:val="24"/>
        </w:rPr>
        <w:t xml:space="preserve"> </w:t>
      </w:r>
      <w:r w:rsidRPr="00765010">
        <w:rPr>
          <w:rFonts w:ascii="Times New Roman" w:eastAsia="TimesNewRoman" w:hAnsi="Times New Roman" w:cs="Times New Roman"/>
          <w:sz w:val="24"/>
          <w:szCs w:val="24"/>
        </w:rPr>
        <w:t>( stawki godzinowej)</w:t>
      </w:r>
    </w:p>
    <w:p w14:paraId="0C8F2728" w14:textId="2219A1D0" w:rsidR="00F44FB1" w:rsidRPr="00765010" w:rsidRDefault="00910D5C" w:rsidP="002547F5">
      <w:pPr>
        <w:autoSpaceDE w:val="0"/>
        <w:autoSpaceDN w:val="0"/>
        <w:adjustRightInd w:val="0"/>
        <w:spacing w:after="0"/>
        <w:jc w:val="both"/>
        <w:rPr>
          <w:rFonts w:ascii="Times New Roman" w:hAnsi="Times New Roman" w:cs="Times New Roman"/>
          <w:sz w:val="24"/>
          <w:szCs w:val="24"/>
        </w:rPr>
      </w:pPr>
      <w:r w:rsidRPr="00765010">
        <w:rPr>
          <w:rFonts w:ascii="Times New Roman" w:hAnsi="Times New Roman" w:cs="Times New Roman"/>
          <w:sz w:val="24"/>
          <w:szCs w:val="24"/>
        </w:rPr>
        <w:t xml:space="preserve">Zaplanowano </w:t>
      </w:r>
      <w:r w:rsidR="00406B9F" w:rsidRPr="00765010">
        <w:rPr>
          <w:rFonts w:ascii="Times New Roman" w:hAnsi="Times New Roman" w:cs="Times New Roman"/>
          <w:sz w:val="24"/>
          <w:szCs w:val="24"/>
        </w:rPr>
        <w:t>wydatki rzeczowe na poziomie roku 2023</w:t>
      </w:r>
      <w:r w:rsidR="002547F5">
        <w:rPr>
          <w:rFonts w:ascii="Times New Roman" w:hAnsi="Times New Roman" w:cs="Times New Roman"/>
          <w:sz w:val="24"/>
          <w:szCs w:val="24"/>
        </w:rPr>
        <w:t xml:space="preserve"> </w:t>
      </w:r>
      <w:r w:rsidR="00406B9F" w:rsidRPr="00765010">
        <w:rPr>
          <w:rFonts w:ascii="Times New Roman" w:hAnsi="Times New Roman" w:cs="Times New Roman"/>
          <w:sz w:val="24"/>
          <w:szCs w:val="24"/>
        </w:rPr>
        <w:t>r.</w:t>
      </w:r>
      <w:r w:rsidR="002547F5">
        <w:rPr>
          <w:rFonts w:ascii="Times New Roman" w:hAnsi="Times New Roman" w:cs="Times New Roman"/>
          <w:sz w:val="24"/>
          <w:szCs w:val="24"/>
        </w:rPr>
        <w:t xml:space="preserve"> </w:t>
      </w:r>
      <w:r w:rsidR="00406B9F" w:rsidRPr="00765010">
        <w:rPr>
          <w:rFonts w:ascii="Times New Roman" w:hAnsi="Times New Roman" w:cs="Times New Roman"/>
          <w:sz w:val="24"/>
          <w:szCs w:val="24"/>
        </w:rPr>
        <w:t>Dokonano przeliczenia kosztów amortyzacji.</w:t>
      </w:r>
    </w:p>
    <w:p w14:paraId="54BA8ABD" w14:textId="77777777" w:rsidR="00406B9F" w:rsidRPr="00765010" w:rsidRDefault="00406B9F" w:rsidP="002547F5">
      <w:pPr>
        <w:autoSpaceDE w:val="0"/>
        <w:autoSpaceDN w:val="0"/>
        <w:adjustRightInd w:val="0"/>
        <w:spacing w:after="0"/>
        <w:jc w:val="both"/>
        <w:rPr>
          <w:rFonts w:ascii="Times New Roman" w:hAnsi="Times New Roman" w:cs="Times New Roman"/>
          <w:sz w:val="24"/>
          <w:szCs w:val="24"/>
        </w:rPr>
      </w:pPr>
      <w:r w:rsidRPr="00765010">
        <w:rPr>
          <w:rFonts w:ascii="Times New Roman" w:hAnsi="Times New Roman" w:cs="Times New Roman"/>
          <w:sz w:val="24"/>
          <w:szCs w:val="24"/>
        </w:rPr>
        <w:t>Zaplanowano podatek od nieruchomości z marginesem in plus.</w:t>
      </w:r>
    </w:p>
    <w:p w14:paraId="67FE22B7" w14:textId="705DACC9" w:rsidR="00406B9F" w:rsidRDefault="00406B9F" w:rsidP="002547F5">
      <w:pPr>
        <w:autoSpaceDE w:val="0"/>
        <w:autoSpaceDN w:val="0"/>
        <w:adjustRightInd w:val="0"/>
        <w:spacing w:after="0"/>
        <w:jc w:val="both"/>
        <w:rPr>
          <w:rFonts w:ascii="Times New Roman" w:hAnsi="Times New Roman" w:cs="Times New Roman"/>
          <w:sz w:val="24"/>
          <w:szCs w:val="24"/>
        </w:rPr>
      </w:pPr>
      <w:r w:rsidRPr="00765010">
        <w:rPr>
          <w:rFonts w:ascii="Times New Roman" w:hAnsi="Times New Roman" w:cs="Times New Roman"/>
          <w:sz w:val="24"/>
          <w:szCs w:val="24"/>
        </w:rPr>
        <w:t>Uwzględniono świadczenia na rzecz pracowników jak również koszty rodzajowe.</w:t>
      </w:r>
    </w:p>
    <w:p w14:paraId="2F52069B" w14:textId="77777777" w:rsidR="00381C16" w:rsidRDefault="00381C16" w:rsidP="002547F5">
      <w:pPr>
        <w:autoSpaceDE w:val="0"/>
        <w:autoSpaceDN w:val="0"/>
        <w:adjustRightInd w:val="0"/>
        <w:spacing w:after="0"/>
        <w:jc w:val="both"/>
        <w:rPr>
          <w:rFonts w:ascii="Times New Roman" w:hAnsi="Times New Roman" w:cs="Times New Roman"/>
          <w:sz w:val="24"/>
          <w:szCs w:val="24"/>
        </w:rPr>
      </w:pPr>
    </w:p>
    <w:p w14:paraId="011A4791" w14:textId="77777777" w:rsidR="00381C16" w:rsidRDefault="00381C16" w:rsidP="002547F5">
      <w:pPr>
        <w:autoSpaceDE w:val="0"/>
        <w:autoSpaceDN w:val="0"/>
        <w:adjustRightInd w:val="0"/>
        <w:spacing w:after="0"/>
        <w:jc w:val="both"/>
        <w:rPr>
          <w:rFonts w:ascii="Times New Roman" w:hAnsi="Times New Roman" w:cs="Times New Roman"/>
          <w:sz w:val="24"/>
          <w:szCs w:val="24"/>
        </w:rPr>
      </w:pPr>
    </w:p>
    <w:p w14:paraId="5211C687" w14:textId="77777777" w:rsidR="00381C16" w:rsidRPr="00765010" w:rsidRDefault="00381C16" w:rsidP="002547F5">
      <w:pPr>
        <w:autoSpaceDE w:val="0"/>
        <w:autoSpaceDN w:val="0"/>
        <w:adjustRightInd w:val="0"/>
        <w:spacing w:after="0"/>
        <w:jc w:val="both"/>
        <w:rPr>
          <w:rFonts w:ascii="Times New Roman" w:hAnsi="Times New Roman" w:cs="Times New Roman"/>
          <w:sz w:val="24"/>
          <w:szCs w:val="24"/>
        </w:rPr>
      </w:pPr>
    </w:p>
    <w:p w14:paraId="4D6B7A4F" w14:textId="77777777" w:rsidR="005643D0" w:rsidRPr="00765010" w:rsidRDefault="005643D0" w:rsidP="006F7649">
      <w:pPr>
        <w:autoSpaceDE w:val="0"/>
        <w:autoSpaceDN w:val="0"/>
        <w:adjustRightInd w:val="0"/>
        <w:spacing w:after="0"/>
        <w:jc w:val="both"/>
        <w:rPr>
          <w:rFonts w:ascii="Times New Roman" w:hAnsi="Times New Roman" w:cs="Times New Roman"/>
          <w:sz w:val="24"/>
          <w:szCs w:val="24"/>
        </w:rPr>
      </w:pPr>
    </w:p>
    <w:p w14:paraId="2674252C" w14:textId="0D848A7E" w:rsidR="00B3742C" w:rsidRPr="00765010" w:rsidRDefault="00406B9F" w:rsidP="006F7649">
      <w:pPr>
        <w:ind w:left="284"/>
        <w:jc w:val="both"/>
        <w:rPr>
          <w:rFonts w:ascii="Times New Roman" w:hAnsi="Times New Roman" w:cs="Times New Roman"/>
          <w:bCs/>
          <w:sz w:val="24"/>
          <w:szCs w:val="24"/>
        </w:rPr>
      </w:pPr>
      <w:r w:rsidRPr="00765010">
        <w:rPr>
          <w:rFonts w:ascii="Times New Roman" w:hAnsi="Times New Roman" w:cs="Times New Roman"/>
          <w:bCs/>
          <w:sz w:val="24"/>
          <w:szCs w:val="24"/>
        </w:rPr>
        <w:lastRenderedPageBreak/>
        <w:t xml:space="preserve"> Wszystkie k</w:t>
      </w:r>
      <w:r w:rsidR="00143B0F" w:rsidRPr="00765010">
        <w:rPr>
          <w:rFonts w:ascii="Times New Roman" w:hAnsi="Times New Roman" w:cs="Times New Roman"/>
          <w:bCs/>
          <w:sz w:val="24"/>
          <w:szCs w:val="24"/>
        </w:rPr>
        <w:t xml:space="preserve">woty przychodów i kosztów ujęte w prognozie </w:t>
      </w:r>
      <w:r w:rsidR="000C4AC6" w:rsidRPr="00765010">
        <w:rPr>
          <w:rFonts w:ascii="Times New Roman" w:hAnsi="Times New Roman" w:cs="Times New Roman"/>
          <w:bCs/>
          <w:sz w:val="24"/>
          <w:szCs w:val="24"/>
        </w:rPr>
        <w:t>finansowej są wynikiem realizacji zawartych przez nas umów  wynikających z kodeksu cywilnego oraz kodeksu pracy</w:t>
      </w:r>
      <w:r w:rsidR="006869D0" w:rsidRPr="00765010">
        <w:rPr>
          <w:rFonts w:ascii="Times New Roman" w:hAnsi="Times New Roman" w:cs="Times New Roman"/>
          <w:bCs/>
          <w:sz w:val="24"/>
          <w:szCs w:val="24"/>
        </w:rPr>
        <w:t xml:space="preserve"> i dotyczą działalności statutowej naszego zakładu.</w:t>
      </w:r>
      <w:r w:rsidR="001E1158" w:rsidRPr="00765010">
        <w:rPr>
          <w:rFonts w:ascii="Times New Roman" w:hAnsi="Times New Roman" w:cs="Times New Roman"/>
          <w:bCs/>
          <w:sz w:val="24"/>
          <w:szCs w:val="24"/>
        </w:rPr>
        <w:t xml:space="preserve"> </w:t>
      </w:r>
      <w:r w:rsidR="000D2234" w:rsidRPr="00765010">
        <w:rPr>
          <w:rFonts w:ascii="Times New Roman" w:hAnsi="Times New Roman" w:cs="Times New Roman"/>
          <w:bCs/>
          <w:sz w:val="24"/>
          <w:szCs w:val="24"/>
        </w:rPr>
        <w:t>W prognozie finansowej na lata 202</w:t>
      </w:r>
      <w:r w:rsidRPr="00765010">
        <w:rPr>
          <w:rFonts w:ascii="Times New Roman" w:hAnsi="Times New Roman" w:cs="Times New Roman"/>
          <w:bCs/>
          <w:sz w:val="24"/>
          <w:szCs w:val="24"/>
        </w:rPr>
        <w:t>4</w:t>
      </w:r>
      <w:r w:rsidR="002547F5">
        <w:rPr>
          <w:rFonts w:ascii="Times New Roman" w:hAnsi="Times New Roman" w:cs="Times New Roman"/>
          <w:bCs/>
          <w:sz w:val="24"/>
          <w:szCs w:val="24"/>
        </w:rPr>
        <w:t xml:space="preserve"> r.</w:t>
      </w:r>
      <w:r w:rsidR="000D2234" w:rsidRPr="00765010">
        <w:rPr>
          <w:rFonts w:ascii="Times New Roman" w:hAnsi="Times New Roman" w:cs="Times New Roman"/>
          <w:bCs/>
          <w:sz w:val="24"/>
          <w:szCs w:val="24"/>
        </w:rPr>
        <w:t>, 202</w:t>
      </w:r>
      <w:r w:rsidRPr="00765010">
        <w:rPr>
          <w:rFonts w:ascii="Times New Roman" w:hAnsi="Times New Roman" w:cs="Times New Roman"/>
          <w:bCs/>
          <w:sz w:val="24"/>
          <w:szCs w:val="24"/>
        </w:rPr>
        <w:t>5</w:t>
      </w:r>
      <w:r w:rsidR="002547F5">
        <w:rPr>
          <w:rFonts w:ascii="Times New Roman" w:hAnsi="Times New Roman" w:cs="Times New Roman"/>
          <w:bCs/>
          <w:sz w:val="24"/>
          <w:szCs w:val="24"/>
        </w:rPr>
        <w:t xml:space="preserve"> r.</w:t>
      </w:r>
      <w:r w:rsidR="000D2234" w:rsidRPr="00765010">
        <w:rPr>
          <w:rFonts w:ascii="Times New Roman" w:hAnsi="Times New Roman" w:cs="Times New Roman"/>
          <w:bCs/>
          <w:sz w:val="24"/>
          <w:szCs w:val="24"/>
        </w:rPr>
        <w:t>,</w:t>
      </w:r>
      <w:r w:rsidR="002547F5">
        <w:rPr>
          <w:rFonts w:ascii="Times New Roman" w:hAnsi="Times New Roman" w:cs="Times New Roman"/>
          <w:bCs/>
          <w:sz w:val="24"/>
          <w:szCs w:val="24"/>
        </w:rPr>
        <w:t xml:space="preserve"> </w:t>
      </w:r>
      <w:r w:rsidR="000D2234" w:rsidRPr="00765010">
        <w:rPr>
          <w:rFonts w:ascii="Times New Roman" w:hAnsi="Times New Roman" w:cs="Times New Roman"/>
          <w:bCs/>
          <w:sz w:val="24"/>
          <w:szCs w:val="24"/>
        </w:rPr>
        <w:t>202</w:t>
      </w:r>
      <w:r w:rsidRPr="00765010">
        <w:rPr>
          <w:rFonts w:ascii="Times New Roman" w:hAnsi="Times New Roman" w:cs="Times New Roman"/>
          <w:bCs/>
          <w:sz w:val="24"/>
          <w:szCs w:val="24"/>
        </w:rPr>
        <w:t>6</w:t>
      </w:r>
      <w:r w:rsidR="002547F5">
        <w:rPr>
          <w:rFonts w:ascii="Times New Roman" w:hAnsi="Times New Roman" w:cs="Times New Roman"/>
          <w:bCs/>
          <w:sz w:val="24"/>
          <w:szCs w:val="24"/>
        </w:rPr>
        <w:t xml:space="preserve"> </w:t>
      </w:r>
      <w:r w:rsidR="000D2234" w:rsidRPr="00765010">
        <w:rPr>
          <w:rFonts w:ascii="Times New Roman" w:hAnsi="Times New Roman" w:cs="Times New Roman"/>
          <w:bCs/>
          <w:sz w:val="24"/>
          <w:szCs w:val="24"/>
        </w:rPr>
        <w:t>r</w:t>
      </w:r>
      <w:r w:rsidR="002547F5">
        <w:rPr>
          <w:rFonts w:ascii="Times New Roman" w:hAnsi="Times New Roman" w:cs="Times New Roman"/>
          <w:bCs/>
          <w:sz w:val="24"/>
          <w:szCs w:val="24"/>
        </w:rPr>
        <w:t>.</w:t>
      </w:r>
      <w:r w:rsidR="000D2234" w:rsidRPr="00765010">
        <w:rPr>
          <w:rFonts w:ascii="Times New Roman" w:hAnsi="Times New Roman" w:cs="Times New Roman"/>
          <w:bCs/>
          <w:sz w:val="24"/>
          <w:szCs w:val="24"/>
        </w:rPr>
        <w:t xml:space="preserve"> zabezpieczono zdarzenia związane </w:t>
      </w:r>
      <w:r w:rsidR="002547F5">
        <w:rPr>
          <w:rFonts w:ascii="Times New Roman" w:hAnsi="Times New Roman" w:cs="Times New Roman"/>
          <w:bCs/>
          <w:sz w:val="24"/>
          <w:szCs w:val="24"/>
        </w:rPr>
        <w:t xml:space="preserve">                     </w:t>
      </w:r>
      <w:r w:rsidR="000D2234" w:rsidRPr="00765010">
        <w:rPr>
          <w:rFonts w:ascii="Times New Roman" w:hAnsi="Times New Roman" w:cs="Times New Roman"/>
          <w:bCs/>
          <w:sz w:val="24"/>
          <w:szCs w:val="24"/>
        </w:rPr>
        <w:t xml:space="preserve">z zabezpieczeniem funkcjonowania zakładu. </w:t>
      </w:r>
    </w:p>
    <w:p w14:paraId="34CCA1B2" w14:textId="70536DAE" w:rsidR="003A1CF6" w:rsidRDefault="003A1CF6" w:rsidP="006F7649">
      <w:pPr>
        <w:ind w:left="284"/>
        <w:jc w:val="both"/>
        <w:rPr>
          <w:rFonts w:ascii="Times New Roman" w:hAnsi="Times New Roman" w:cs="Times New Roman"/>
          <w:iCs/>
          <w:color w:val="000000" w:themeColor="text1"/>
          <w:kern w:val="24"/>
          <w:sz w:val="24"/>
          <w:szCs w:val="24"/>
        </w:rPr>
      </w:pPr>
      <w:r w:rsidRPr="00765010">
        <w:rPr>
          <w:rFonts w:ascii="Times New Roman" w:hAnsi="Times New Roman" w:cs="Times New Roman"/>
          <w:iCs/>
          <w:color w:val="000000" w:themeColor="text1"/>
          <w:kern w:val="24"/>
          <w:sz w:val="24"/>
          <w:szCs w:val="24"/>
        </w:rPr>
        <w:t>W  wyniku analizy wskaźników sporządzonej na lata 202</w:t>
      </w:r>
      <w:r w:rsidR="00406B9F" w:rsidRPr="00765010">
        <w:rPr>
          <w:rFonts w:ascii="Times New Roman" w:hAnsi="Times New Roman" w:cs="Times New Roman"/>
          <w:iCs/>
          <w:color w:val="000000" w:themeColor="text1"/>
          <w:kern w:val="24"/>
          <w:sz w:val="24"/>
          <w:szCs w:val="24"/>
        </w:rPr>
        <w:t>4</w:t>
      </w:r>
      <w:r w:rsidR="002547F5">
        <w:rPr>
          <w:rFonts w:ascii="Times New Roman" w:hAnsi="Times New Roman" w:cs="Times New Roman"/>
          <w:iCs/>
          <w:color w:val="000000" w:themeColor="text1"/>
          <w:kern w:val="24"/>
          <w:sz w:val="24"/>
          <w:szCs w:val="24"/>
        </w:rPr>
        <w:t xml:space="preserve"> r.</w:t>
      </w:r>
      <w:r w:rsidRPr="00765010">
        <w:rPr>
          <w:rFonts w:ascii="Times New Roman" w:hAnsi="Times New Roman" w:cs="Times New Roman"/>
          <w:iCs/>
          <w:color w:val="000000" w:themeColor="text1"/>
          <w:kern w:val="24"/>
          <w:sz w:val="24"/>
          <w:szCs w:val="24"/>
        </w:rPr>
        <w:t>,</w:t>
      </w:r>
      <w:r w:rsidR="002547F5">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202</w:t>
      </w:r>
      <w:r w:rsidR="00406B9F" w:rsidRPr="00765010">
        <w:rPr>
          <w:rFonts w:ascii="Times New Roman" w:hAnsi="Times New Roman" w:cs="Times New Roman"/>
          <w:iCs/>
          <w:color w:val="000000" w:themeColor="text1"/>
          <w:kern w:val="24"/>
          <w:sz w:val="24"/>
          <w:szCs w:val="24"/>
        </w:rPr>
        <w:t>5</w:t>
      </w:r>
      <w:r w:rsidR="002547F5">
        <w:rPr>
          <w:rFonts w:ascii="Times New Roman" w:hAnsi="Times New Roman" w:cs="Times New Roman"/>
          <w:iCs/>
          <w:color w:val="000000" w:themeColor="text1"/>
          <w:kern w:val="24"/>
          <w:sz w:val="24"/>
          <w:szCs w:val="24"/>
        </w:rPr>
        <w:t xml:space="preserve"> r.</w:t>
      </w:r>
      <w:r w:rsidRPr="00765010">
        <w:rPr>
          <w:rFonts w:ascii="Times New Roman" w:hAnsi="Times New Roman" w:cs="Times New Roman"/>
          <w:iCs/>
          <w:color w:val="000000" w:themeColor="text1"/>
          <w:kern w:val="24"/>
          <w:sz w:val="24"/>
          <w:szCs w:val="24"/>
        </w:rPr>
        <w:t>,</w:t>
      </w:r>
      <w:r w:rsidR="002547F5">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202</w:t>
      </w:r>
      <w:r w:rsidR="00406B9F" w:rsidRPr="00765010">
        <w:rPr>
          <w:rFonts w:ascii="Times New Roman" w:hAnsi="Times New Roman" w:cs="Times New Roman"/>
          <w:iCs/>
          <w:color w:val="000000" w:themeColor="text1"/>
          <w:kern w:val="24"/>
          <w:sz w:val="24"/>
          <w:szCs w:val="24"/>
        </w:rPr>
        <w:t>6</w:t>
      </w:r>
      <w:r w:rsidR="002547F5">
        <w:rPr>
          <w:rFonts w:ascii="Times New Roman" w:hAnsi="Times New Roman" w:cs="Times New Roman"/>
          <w:iCs/>
          <w:color w:val="000000" w:themeColor="text1"/>
          <w:kern w:val="24"/>
          <w:sz w:val="24"/>
          <w:szCs w:val="24"/>
        </w:rPr>
        <w:t xml:space="preserve"> r.</w:t>
      </w:r>
      <w:r w:rsidR="00406B9F" w:rsidRPr="00765010">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uzyskano łącznie:</w:t>
      </w:r>
      <w:r w:rsidR="002547F5">
        <w:rPr>
          <w:rFonts w:ascii="Times New Roman" w:hAnsi="Times New Roman" w:cs="Times New Roman"/>
          <w:iCs/>
          <w:color w:val="000000" w:themeColor="text1"/>
          <w:kern w:val="24"/>
          <w:sz w:val="24"/>
          <w:szCs w:val="24"/>
        </w:rPr>
        <w:t xml:space="preserve"> </w:t>
      </w:r>
      <w:r w:rsidRPr="00765010">
        <w:rPr>
          <w:rFonts w:ascii="Times New Roman" w:hAnsi="Times New Roman" w:cs="Times New Roman"/>
          <w:iCs/>
          <w:color w:val="000000" w:themeColor="text1"/>
          <w:kern w:val="24"/>
          <w:sz w:val="24"/>
          <w:szCs w:val="24"/>
        </w:rPr>
        <w:t>1</w:t>
      </w:r>
      <w:r w:rsidR="00406B9F" w:rsidRPr="00765010">
        <w:rPr>
          <w:rFonts w:ascii="Times New Roman" w:hAnsi="Times New Roman" w:cs="Times New Roman"/>
          <w:iCs/>
          <w:color w:val="000000" w:themeColor="text1"/>
          <w:kern w:val="24"/>
          <w:sz w:val="24"/>
          <w:szCs w:val="24"/>
        </w:rPr>
        <w:t>68</w:t>
      </w:r>
      <w:r w:rsidRPr="00765010">
        <w:rPr>
          <w:rFonts w:ascii="Times New Roman" w:hAnsi="Times New Roman" w:cs="Times New Roman"/>
          <w:iCs/>
          <w:color w:val="000000" w:themeColor="text1"/>
          <w:kern w:val="24"/>
          <w:sz w:val="24"/>
          <w:szCs w:val="24"/>
        </w:rPr>
        <w:t xml:space="preserve">  punktów </w:t>
      </w:r>
      <w:r w:rsidRPr="00765010">
        <w:rPr>
          <w:rFonts w:ascii="Times New Roman" w:hAnsi="Times New Roman" w:cs="Times New Roman"/>
          <w:color w:val="000000" w:themeColor="text1"/>
          <w:kern w:val="24"/>
          <w:sz w:val="24"/>
          <w:szCs w:val="24"/>
        </w:rPr>
        <w:t xml:space="preserve"> co stanowi około 8</w:t>
      </w:r>
      <w:r w:rsidR="00406B9F" w:rsidRPr="00765010">
        <w:rPr>
          <w:rFonts w:ascii="Times New Roman" w:hAnsi="Times New Roman" w:cs="Times New Roman"/>
          <w:color w:val="000000" w:themeColor="text1"/>
          <w:kern w:val="24"/>
          <w:sz w:val="24"/>
          <w:szCs w:val="24"/>
        </w:rPr>
        <w:t>0</w:t>
      </w:r>
      <w:r w:rsidRPr="00765010">
        <w:rPr>
          <w:rFonts w:ascii="Times New Roman" w:hAnsi="Times New Roman" w:cs="Times New Roman"/>
          <w:color w:val="000000" w:themeColor="text1"/>
          <w:kern w:val="24"/>
          <w:sz w:val="24"/>
          <w:szCs w:val="24"/>
        </w:rPr>
        <w:t xml:space="preserve"> % maksymalnej liczby punktów możliwej do uzyskania ( z </w:t>
      </w:r>
      <w:r w:rsidR="00506DA2" w:rsidRPr="00765010">
        <w:rPr>
          <w:rFonts w:ascii="Times New Roman" w:hAnsi="Times New Roman" w:cs="Times New Roman"/>
          <w:color w:val="000000" w:themeColor="text1"/>
          <w:kern w:val="24"/>
          <w:sz w:val="24"/>
          <w:szCs w:val="24"/>
        </w:rPr>
        <w:t>210</w:t>
      </w:r>
      <w:r w:rsidRPr="00765010">
        <w:rPr>
          <w:rFonts w:ascii="Times New Roman" w:hAnsi="Times New Roman" w:cs="Times New Roman"/>
          <w:color w:val="000000" w:themeColor="text1"/>
          <w:kern w:val="24"/>
          <w:sz w:val="24"/>
          <w:szCs w:val="24"/>
        </w:rPr>
        <w:t xml:space="preserve"> punktów) i o świadczy </w:t>
      </w:r>
      <w:r w:rsidRPr="00765010">
        <w:rPr>
          <w:rFonts w:ascii="Times New Roman" w:hAnsi="Times New Roman" w:cs="Times New Roman"/>
          <w:iCs/>
          <w:color w:val="000000" w:themeColor="text1"/>
          <w:kern w:val="24"/>
          <w:sz w:val="24"/>
          <w:szCs w:val="24"/>
        </w:rPr>
        <w:t>stabilności ekonomiczno-finansowej Samodzielnego Publicznego Zakładu Opieki Zdrowotnej w Sławkowie</w:t>
      </w:r>
      <w:r w:rsidR="00506DA2" w:rsidRPr="00765010">
        <w:rPr>
          <w:rFonts w:ascii="Times New Roman" w:hAnsi="Times New Roman" w:cs="Times New Roman"/>
          <w:iCs/>
          <w:color w:val="000000" w:themeColor="text1"/>
          <w:kern w:val="24"/>
          <w:sz w:val="24"/>
          <w:szCs w:val="24"/>
        </w:rPr>
        <w:t xml:space="preserve"> w kolejnych latach działalności</w:t>
      </w:r>
      <w:r w:rsidR="00B50C09" w:rsidRPr="00765010">
        <w:rPr>
          <w:rFonts w:ascii="Times New Roman" w:hAnsi="Times New Roman" w:cs="Times New Roman"/>
          <w:iCs/>
          <w:color w:val="000000" w:themeColor="text1"/>
          <w:kern w:val="24"/>
          <w:sz w:val="24"/>
          <w:szCs w:val="24"/>
        </w:rPr>
        <w:t xml:space="preserve"> przy założeniu kontynuacji umów z NFZ w obszarach POZ, Stomatologii, Rehabilitacji, </w:t>
      </w:r>
      <w:r w:rsidR="002547F5">
        <w:rPr>
          <w:rFonts w:ascii="Times New Roman" w:hAnsi="Times New Roman" w:cs="Times New Roman"/>
          <w:iCs/>
          <w:color w:val="000000" w:themeColor="text1"/>
          <w:kern w:val="24"/>
          <w:sz w:val="24"/>
          <w:szCs w:val="24"/>
        </w:rPr>
        <w:t xml:space="preserve"> </w:t>
      </w:r>
      <w:r w:rsidR="00B50C09" w:rsidRPr="00765010">
        <w:rPr>
          <w:rFonts w:ascii="Times New Roman" w:hAnsi="Times New Roman" w:cs="Times New Roman"/>
          <w:iCs/>
          <w:color w:val="000000" w:themeColor="text1"/>
          <w:kern w:val="24"/>
          <w:sz w:val="24"/>
          <w:szCs w:val="24"/>
        </w:rPr>
        <w:t>AOS</w:t>
      </w:r>
      <w:r w:rsidR="00381C16">
        <w:rPr>
          <w:rFonts w:ascii="Times New Roman" w:hAnsi="Times New Roman" w:cs="Times New Roman"/>
          <w:iCs/>
          <w:color w:val="000000" w:themeColor="text1"/>
          <w:kern w:val="24"/>
          <w:sz w:val="24"/>
          <w:szCs w:val="24"/>
        </w:rPr>
        <w:t>.</w:t>
      </w:r>
    </w:p>
    <w:p w14:paraId="379BE7AF"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5DD25FAF"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213F28DF"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67E88A44"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1D54DE67"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7700DC90"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4C0F38BD"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51A2F746"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1F120CFA"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1E2CB9E6"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3BCB7BF8"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5BDBBB6C"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262CCD09"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07889FEC"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0496C5DD"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2EF10A21"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5AD56AC6"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3FA2E872"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3B7540B7"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72A746DF" w14:textId="77777777" w:rsidR="005F560B" w:rsidRDefault="005F560B" w:rsidP="006F7649">
      <w:pPr>
        <w:ind w:left="284"/>
        <w:jc w:val="both"/>
        <w:rPr>
          <w:rFonts w:ascii="Times New Roman" w:hAnsi="Times New Roman" w:cs="Times New Roman"/>
          <w:iCs/>
          <w:color w:val="000000" w:themeColor="text1"/>
          <w:kern w:val="24"/>
          <w:sz w:val="24"/>
          <w:szCs w:val="24"/>
        </w:rPr>
      </w:pPr>
    </w:p>
    <w:p w14:paraId="1BEC2F56" w14:textId="77777777" w:rsidR="005F560B" w:rsidRDefault="005F560B" w:rsidP="006F7649">
      <w:pPr>
        <w:ind w:left="284"/>
        <w:jc w:val="both"/>
        <w:rPr>
          <w:rFonts w:ascii="Times New Roman" w:hAnsi="Times New Roman" w:cs="Times New Roman"/>
          <w:iCs/>
          <w:color w:val="000000" w:themeColor="text1"/>
          <w:kern w:val="24"/>
          <w:sz w:val="24"/>
          <w:szCs w:val="24"/>
        </w:rPr>
      </w:pPr>
    </w:p>
    <w:tbl>
      <w:tblPr>
        <w:tblW w:w="9363" w:type="dxa"/>
        <w:jc w:val="center"/>
        <w:tblCellMar>
          <w:left w:w="70" w:type="dxa"/>
          <w:right w:w="70" w:type="dxa"/>
        </w:tblCellMar>
        <w:tblLook w:val="04A0" w:firstRow="1" w:lastRow="0" w:firstColumn="1" w:lastColumn="0" w:noHBand="0" w:noVBand="1"/>
      </w:tblPr>
      <w:tblGrid>
        <w:gridCol w:w="1774"/>
        <w:gridCol w:w="2140"/>
        <w:gridCol w:w="889"/>
        <w:gridCol w:w="900"/>
        <w:gridCol w:w="900"/>
        <w:gridCol w:w="920"/>
        <w:gridCol w:w="920"/>
        <w:gridCol w:w="920"/>
      </w:tblGrid>
      <w:tr w:rsidR="000A29D8" w:rsidRPr="00765010" w14:paraId="2A93B704" w14:textId="77777777" w:rsidTr="00533864">
        <w:trPr>
          <w:trHeight w:val="480"/>
          <w:jc w:val="center"/>
        </w:trPr>
        <w:tc>
          <w:tcPr>
            <w:tcW w:w="3914" w:type="dxa"/>
            <w:gridSpan w:val="2"/>
            <w:tcBorders>
              <w:top w:val="nil"/>
              <w:left w:val="nil"/>
              <w:bottom w:val="nil"/>
              <w:right w:val="nil"/>
            </w:tcBorders>
            <w:shd w:val="clear" w:color="auto" w:fill="auto"/>
            <w:vAlign w:val="center"/>
            <w:hideMark/>
          </w:tcPr>
          <w:p w14:paraId="6C977AF7" w14:textId="77777777" w:rsidR="000A29D8" w:rsidRPr="00765010" w:rsidRDefault="000A29D8" w:rsidP="006F7649">
            <w:pPr>
              <w:spacing w:after="0"/>
              <w:jc w:val="both"/>
              <w:rPr>
                <w:rFonts w:ascii="Times New Roman" w:eastAsia="Times New Roman" w:hAnsi="Times New Roman" w:cs="Times New Roman"/>
                <w:sz w:val="24"/>
                <w:szCs w:val="24"/>
              </w:rPr>
            </w:pPr>
          </w:p>
        </w:tc>
        <w:tc>
          <w:tcPr>
            <w:tcW w:w="2689" w:type="dxa"/>
            <w:gridSpan w:val="3"/>
            <w:tcBorders>
              <w:top w:val="nil"/>
              <w:left w:val="nil"/>
              <w:bottom w:val="nil"/>
              <w:right w:val="nil"/>
            </w:tcBorders>
            <w:shd w:val="clear" w:color="auto" w:fill="auto"/>
            <w:noWrap/>
            <w:vAlign w:val="center"/>
            <w:hideMark/>
          </w:tcPr>
          <w:p w14:paraId="62EFAE35" w14:textId="77777777" w:rsidR="00687091" w:rsidRPr="00765010" w:rsidRDefault="00687091" w:rsidP="006F7649">
            <w:pPr>
              <w:spacing w:after="0"/>
              <w:jc w:val="both"/>
              <w:rPr>
                <w:rFonts w:ascii="Times New Roman" w:eastAsia="Times New Roman" w:hAnsi="Times New Roman" w:cs="Times New Roman"/>
                <w:b/>
                <w:bCs/>
                <w:i/>
                <w:iCs/>
                <w:sz w:val="24"/>
                <w:szCs w:val="24"/>
              </w:rPr>
            </w:pPr>
          </w:p>
          <w:p w14:paraId="74718817" w14:textId="77777777" w:rsidR="00765010" w:rsidRDefault="00765010" w:rsidP="006F7649">
            <w:pPr>
              <w:spacing w:after="0"/>
              <w:jc w:val="both"/>
              <w:rPr>
                <w:rFonts w:ascii="Times New Roman" w:eastAsia="Times New Roman" w:hAnsi="Times New Roman" w:cs="Times New Roman"/>
                <w:b/>
                <w:bCs/>
                <w:sz w:val="24"/>
                <w:szCs w:val="24"/>
              </w:rPr>
            </w:pPr>
          </w:p>
          <w:p w14:paraId="0A553F3C" w14:textId="3E62EED7" w:rsidR="000A29D8" w:rsidRPr="00765010" w:rsidRDefault="000A29D8" w:rsidP="006F7649">
            <w:pPr>
              <w:spacing w:after="0"/>
              <w:jc w:val="both"/>
              <w:rPr>
                <w:rFonts w:ascii="Times New Roman" w:eastAsia="Times New Roman" w:hAnsi="Times New Roman" w:cs="Times New Roman"/>
                <w:b/>
                <w:bCs/>
                <w:sz w:val="24"/>
                <w:szCs w:val="24"/>
              </w:rPr>
            </w:pPr>
            <w:r w:rsidRPr="00765010">
              <w:rPr>
                <w:rFonts w:ascii="Times New Roman" w:eastAsia="Times New Roman" w:hAnsi="Times New Roman" w:cs="Times New Roman"/>
                <w:b/>
                <w:bCs/>
                <w:sz w:val="24"/>
                <w:szCs w:val="24"/>
              </w:rPr>
              <w:t>SPZOZ</w:t>
            </w:r>
            <w:r w:rsidR="00765010">
              <w:rPr>
                <w:rFonts w:ascii="Times New Roman" w:eastAsia="Times New Roman" w:hAnsi="Times New Roman" w:cs="Times New Roman"/>
                <w:b/>
                <w:bCs/>
                <w:sz w:val="24"/>
                <w:szCs w:val="24"/>
              </w:rPr>
              <w:t xml:space="preserve"> </w:t>
            </w:r>
            <w:r w:rsidR="00583D39" w:rsidRPr="00765010">
              <w:rPr>
                <w:rFonts w:ascii="Times New Roman" w:eastAsia="Times New Roman" w:hAnsi="Times New Roman" w:cs="Times New Roman"/>
                <w:b/>
                <w:bCs/>
                <w:sz w:val="24"/>
                <w:szCs w:val="24"/>
              </w:rPr>
              <w:t xml:space="preserve"> SŁAWKOWIE</w:t>
            </w:r>
          </w:p>
        </w:tc>
        <w:tc>
          <w:tcPr>
            <w:tcW w:w="920" w:type="dxa"/>
            <w:tcBorders>
              <w:top w:val="nil"/>
              <w:left w:val="nil"/>
              <w:bottom w:val="nil"/>
              <w:right w:val="nil"/>
            </w:tcBorders>
            <w:shd w:val="clear" w:color="auto" w:fill="auto"/>
            <w:noWrap/>
            <w:vAlign w:val="center"/>
            <w:hideMark/>
          </w:tcPr>
          <w:p w14:paraId="03678AB0" w14:textId="77777777" w:rsidR="000A29D8" w:rsidRPr="00765010" w:rsidRDefault="000A29D8" w:rsidP="006F7649">
            <w:pPr>
              <w:spacing w:after="0"/>
              <w:jc w:val="both"/>
              <w:rPr>
                <w:rFonts w:ascii="Times New Roman" w:eastAsia="Times New Roman" w:hAnsi="Times New Roman" w:cs="Times New Roman"/>
                <w:b/>
                <w:bCs/>
                <w:i/>
                <w:iCs/>
                <w:sz w:val="24"/>
                <w:szCs w:val="24"/>
              </w:rPr>
            </w:pPr>
          </w:p>
        </w:tc>
        <w:tc>
          <w:tcPr>
            <w:tcW w:w="920" w:type="dxa"/>
            <w:tcBorders>
              <w:top w:val="nil"/>
              <w:left w:val="nil"/>
              <w:bottom w:val="nil"/>
              <w:right w:val="nil"/>
            </w:tcBorders>
            <w:shd w:val="clear" w:color="auto" w:fill="auto"/>
            <w:noWrap/>
            <w:vAlign w:val="center"/>
            <w:hideMark/>
          </w:tcPr>
          <w:p w14:paraId="364023A8" w14:textId="77777777" w:rsidR="000A29D8" w:rsidRPr="00765010" w:rsidRDefault="000A29D8" w:rsidP="006F7649">
            <w:pPr>
              <w:spacing w:after="0"/>
              <w:jc w:val="both"/>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center"/>
            <w:hideMark/>
          </w:tcPr>
          <w:p w14:paraId="55A4B3D4" w14:textId="77777777" w:rsidR="000A29D8" w:rsidRPr="00765010" w:rsidRDefault="000A29D8" w:rsidP="006F7649">
            <w:pPr>
              <w:spacing w:after="0"/>
              <w:jc w:val="both"/>
              <w:rPr>
                <w:rFonts w:ascii="Times New Roman" w:eastAsia="Times New Roman" w:hAnsi="Times New Roman" w:cs="Times New Roman"/>
                <w:sz w:val="24"/>
                <w:szCs w:val="24"/>
              </w:rPr>
            </w:pPr>
          </w:p>
        </w:tc>
      </w:tr>
      <w:tr w:rsidR="000A29D8" w:rsidRPr="00765010" w14:paraId="6F962DC8" w14:textId="77777777" w:rsidTr="00533864">
        <w:trPr>
          <w:trHeight w:val="795"/>
          <w:jc w:val="center"/>
        </w:trPr>
        <w:tc>
          <w:tcPr>
            <w:tcW w:w="9363" w:type="dxa"/>
            <w:gridSpan w:val="8"/>
            <w:tcBorders>
              <w:top w:val="nil"/>
              <w:left w:val="nil"/>
              <w:bottom w:val="single" w:sz="8" w:space="0" w:color="auto"/>
              <w:right w:val="nil"/>
            </w:tcBorders>
            <w:shd w:val="clear" w:color="000000" w:fill="FFFFFF"/>
            <w:vAlign w:val="center"/>
            <w:hideMark/>
          </w:tcPr>
          <w:p w14:paraId="7FE0D69C" w14:textId="1889479F" w:rsidR="000A29D8" w:rsidRPr="00765010" w:rsidRDefault="000A29D8" w:rsidP="00C8499B">
            <w:pPr>
              <w:spacing w:after="0" w:line="240" w:lineRule="auto"/>
              <w:jc w:val="center"/>
              <w:rPr>
                <w:rFonts w:ascii="Times New Roman" w:eastAsia="Times New Roman" w:hAnsi="Times New Roman" w:cs="Times New Roman"/>
                <w:b/>
                <w:bCs/>
                <w:sz w:val="24"/>
                <w:szCs w:val="24"/>
              </w:rPr>
            </w:pPr>
            <w:bookmarkStart w:id="0" w:name="RANGE!A2:H22"/>
            <w:r w:rsidRPr="00765010">
              <w:rPr>
                <w:rFonts w:ascii="Times New Roman" w:eastAsia="Times New Roman" w:hAnsi="Times New Roman" w:cs="Times New Roman"/>
                <w:b/>
                <w:bCs/>
                <w:sz w:val="24"/>
                <w:szCs w:val="24"/>
              </w:rPr>
              <w:t>TABELA PODSUMOWUJĄCA WYNIKI OCENY SYTUACJI EKONOMICZNO-FINANSOWEJ -  PROGNOZA NA LATA 20</w:t>
            </w:r>
            <w:bookmarkEnd w:id="0"/>
            <w:r w:rsidR="00DA2BD4" w:rsidRPr="00765010">
              <w:rPr>
                <w:rFonts w:ascii="Times New Roman" w:eastAsia="Times New Roman" w:hAnsi="Times New Roman" w:cs="Times New Roman"/>
                <w:b/>
                <w:bCs/>
                <w:sz w:val="24"/>
                <w:szCs w:val="24"/>
              </w:rPr>
              <w:t>2</w:t>
            </w:r>
            <w:r w:rsidR="00583D39" w:rsidRPr="00765010">
              <w:rPr>
                <w:rFonts w:ascii="Times New Roman" w:eastAsia="Times New Roman" w:hAnsi="Times New Roman" w:cs="Times New Roman"/>
                <w:b/>
                <w:bCs/>
                <w:sz w:val="24"/>
                <w:szCs w:val="24"/>
              </w:rPr>
              <w:t>4</w:t>
            </w:r>
            <w:r w:rsidR="00DA2BD4" w:rsidRPr="00765010">
              <w:rPr>
                <w:rFonts w:ascii="Times New Roman" w:eastAsia="Times New Roman" w:hAnsi="Times New Roman" w:cs="Times New Roman"/>
                <w:b/>
                <w:bCs/>
                <w:sz w:val="24"/>
                <w:szCs w:val="24"/>
              </w:rPr>
              <w:t>,202</w:t>
            </w:r>
            <w:r w:rsidR="00583D39" w:rsidRPr="00765010">
              <w:rPr>
                <w:rFonts w:ascii="Times New Roman" w:eastAsia="Times New Roman" w:hAnsi="Times New Roman" w:cs="Times New Roman"/>
                <w:b/>
                <w:bCs/>
                <w:sz w:val="24"/>
                <w:szCs w:val="24"/>
              </w:rPr>
              <w:t>5</w:t>
            </w:r>
            <w:r w:rsidR="00DA2BD4" w:rsidRPr="00765010">
              <w:rPr>
                <w:rFonts w:ascii="Times New Roman" w:eastAsia="Times New Roman" w:hAnsi="Times New Roman" w:cs="Times New Roman"/>
                <w:b/>
                <w:bCs/>
                <w:sz w:val="24"/>
                <w:szCs w:val="24"/>
              </w:rPr>
              <w:t>,202</w:t>
            </w:r>
            <w:r w:rsidR="00583D39" w:rsidRPr="00765010">
              <w:rPr>
                <w:rFonts w:ascii="Times New Roman" w:eastAsia="Times New Roman" w:hAnsi="Times New Roman" w:cs="Times New Roman"/>
                <w:b/>
                <w:bCs/>
                <w:sz w:val="24"/>
                <w:szCs w:val="24"/>
              </w:rPr>
              <w:t>6</w:t>
            </w:r>
          </w:p>
        </w:tc>
      </w:tr>
      <w:tr w:rsidR="000A29D8" w:rsidRPr="000A29D8" w14:paraId="5CCD183E" w14:textId="77777777" w:rsidTr="00533864">
        <w:trPr>
          <w:trHeight w:val="330"/>
          <w:jc w:val="center"/>
        </w:trPr>
        <w:tc>
          <w:tcPr>
            <w:tcW w:w="1774" w:type="dxa"/>
            <w:vMerge w:val="restart"/>
            <w:tcBorders>
              <w:top w:val="nil"/>
              <w:left w:val="single" w:sz="8" w:space="0" w:color="auto"/>
              <w:bottom w:val="single" w:sz="8" w:space="0" w:color="000000"/>
              <w:right w:val="single" w:sz="8" w:space="0" w:color="auto"/>
            </w:tcBorders>
            <w:shd w:val="clear" w:color="000000" w:fill="FFCC00"/>
            <w:noWrap/>
            <w:vAlign w:val="center"/>
            <w:hideMark/>
          </w:tcPr>
          <w:p w14:paraId="6F674F75" w14:textId="77777777" w:rsidR="000A29D8" w:rsidRPr="000A29D8" w:rsidRDefault="000A29D8" w:rsidP="00BD414B">
            <w:pPr>
              <w:spacing w:after="0" w:line="240" w:lineRule="auto"/>
              <w:jc w:val="both"/>
              <w:rPr>
                <w:rFonts w:ascii="Garamond" w:eastAsia="Times New Roman" w:hAnsi="Garamond" w:cs="Arial"/>
                <w:sz w:val="20"/>
                <w:szCs w:val="20"/>
              </w:rPr>
            </w:pPr>
            <w:r w:rsidRPr="000A29D8">
              <w:rPr>
                <w:rFonts w:ascii="Garamond" w:eastAsia="Times New Roman" w:hAnsi="Garamond" w:cs="Arial"/>
                <w:sz w:val="20"/>
                <w:szCs w:val="20"/>
              </w:rPr>
              <w:t>Grupa</w:t>
            </w:r>
          </w:p>
        </w:tc>
        <w:tc>
          <w:tcPr>
            <w:tcW w:w="2140" w:type="dxa"/>
            <w:vMerge w:val="restart"/>
            <w:tcBorders>
              <w:top w:val="nil"/>
              <w:left w:val="single" w:sz="8" w:space="0" w:color="auto"/>
              <w:bottom w:val="single" w:sz="8" w:space="0" w:color="000000"/>
              <w:right w:val="nil"/>
            </w:tcBorders>
            <w:shd w:val="clear" w:color="000000" w:fill="FFCC00"/>
            <w:vAlign w:val="center"/>
            <w:hideMark/>
          </w:tcPr>
          <w:p w14:paraId="69603ACE"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Wskaźniki</w:t>
            </w:r>
          </w:p>
        </w:tc>
        <w:tc>
          <w:tcPr>
            <w:tcW w:w="1789" w:type="dxa"/>
            <w:gridSpan w:val="2"/>
            <w:tcBorders>
              <w:top w:val="single" w:sz="8" w:space="0" w:color="auto"/>
              <w:left w:val="single" w:sz="8" w:space="0" w:color="auto"/>
              <w:bottom w:val="single" w:sz="4" w:space="0" w:color="auto"/>
              <w:right w:val="single" w:sz="8" w:space="0" w:color="000000"/>
            </w:tcBorders>
            <w:shd w:val="clear" w:color="000000" w:fill="FFCC00"/>
            <w:vAlign w:val="center"/>
            <w:hideMark/>
          </w:tcPr>
          <w:p w14:paraId="2BBCE20E" w14:textId="7A9B7430"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202</w:t>
            </w:r>
            <w:r w:rsidR="00583D39">
              <w:rPr>
                <w:rFonts w:ascii="Garamond" w:eastAsia="Times New Roman" w:hAnsi="Garamond" w:cs="Arial"/>
                <w:b/>
                <w:bCs/>
                <w:sz w:val="18"/>
                <w:szCs w:val="18"/>
              </w:rPr>
              <w:t>4</w:t>
            </w:r>
          </w:p>
        </w:tc>
        <w:tc>
          <w:tcPr>
            <w:tcW w:w="1820" w:type="dxa"/>
            <w:gridSpan w:val="2"/>
            <w:tcBorders>
              <w:top w:val="single" w:sz="8" w:space="0" w:color="auto"/>
              <w:left w:val="nil"/>
              <w:bottom w:val="single" w:sz="4" w:space="0" w:color="auto"/>
              <w:right w:val="nil"/>
            </w:tcBorders>
            <w:shd w:val="clear" w:color="000000" w:fill="FFCC00"/>
            <w:vAlign w:val="center"/>
            <w:hideMark/>
          </w:tcPr>
          <w:p w14:paraId="0838F82C" w14:textId="074AB11F"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202</w:t>
            </w:r>
            <w:r w:rsidR="00583D39">
              <w:rPr>
                <w:rFonts w:ascii="Garamond" w:eastAsia="Times New Roman" w:hAnsi="Garamond" w:cs="Arial"/>
                <w:b/>
                <w:bCs/>
                <w:sz w:val="18"/>
                <w:szCs w:val="18"/>
              </w:rPr>
              <w:t>5</w:t>
            </w:r>
          </w:p>
        </w:tc>
        <w:tc>
          <w:tcPr>
            <w:tcW w:w="1840" w:type="dxa"/>
            <w:gridSpan w:val="2"/>
            <w:tcBorders>
              <w:top w:val="single" w:sz="8" w:space="0" w:color="auto"/>
              <w:left w:val="single" w:sz="8" w:space="0" w:color="auto"/>
              <w:bottom w:val="single" w:sz="4" w:space="0" w:color="auto"/>
              <w:right w:val="single" w:sz="8" w:space="0" w:color="000000"/>
            </w:tcBorders>
            <w:shd w:val="clear" w:color="000000" w:fill="FFCC00"/>
            <w:vAlign w:val="center"/>
            <w:hideMark/>
          </w:tcPr>
          <w:p w14:paraId="0C957599" w14:textId="6E45D2F2"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202</w:t>
            </w:r>
            <w:r w:rsidR="00583D39">
              <w:rPr>
                <w:rFonts w:ascii="Garamond" w:eastAsia="Times New Roman" w:hAnsi="Garamond" w:cs="Arial"/>
                <w:b/>
                <w:bCs/>
                <w:sz w:val="18"/>
                <w:szCs w:val="18"/>
              </w:rPr>
              <w:t>6</w:t>
            </w:r>
          </w:p>
        </w:tc>
      </w:tr>
      <w:tr w:rsidR="000A29D8" w:rsidRPr="000A29D8" w14:paraId="18F635DF" w14:textId="77777777" w:rsidTr="00533864">
        <w:trPr>
          <w:trHeight w:val="540"/>
          <w:jc w:val="center"/>
        </w:trPr>
        <w:tc>
          <w:tcPr>
            <w:tcW w:w="1774" w:type="dxa"/>
            <w:vMerge/>
            <w:tcBorders>
              <w:top w:val="nil"/>
              <w:left w:val="single" w:sz="8" w:space="0" w:color="auto"/>
              <w:bottom w:val="single" w:sz="8" w:space="0" w:color="000000"/>
              <w:right w:val="single" w:sz="8" w:space="0" w:color="auto"/>
            </w:tcBorders>
            <w:vAlign w:val="center"/>
            <w:hideMark/>
          </w:tcPr>
          <w:p w14:paraId="4327DC10" w14:textId="77777777" w:rsidR="000A29D8" w:rsidRPr="000A29D8" w:rsidRDefault="000A29D8" w:rsidP="00BD414B">
            <w:pPr>
              <w:spacing w:after="0" w:line="240" w:lineRule="auto"/>
              <w:jc w:val="both"/>
              <w:rPr>
                <w:rFonts w:ascii="Garamond" w:eastAsia="Times New Roman" w:hAnsi="Garamond" w:cs="Arial"/>
                <w:sz w:val="20"/>
                <w:szCs w:val="20"/>
              </w:rPr>
            </w:pPr>
          </w:p>
        </w:tc>
        <w:tc>
          <w:tcPr>
            <w:tcW w:w="2140" w:type="dxa"/>
            <w:vMerge/>
            <w:tcBorders>
              <w:top w:val="nil"/>
              <w:left w:val="single" w:sz="8" w:space="0" w:color="auto"/>
              <w:bottom w:val="single" w:sz="8" w:space="0" w:color="000000"/>
              <w:right w:val="nil"/>
            </w:tcBorders>
            <w:vAlign w:val="center"/>
            <w:hideMark/>
          </w:tcPr>
          <w:p w14:paraId="6B322DF9" w14:textId="77777777" w:rsidR="000A29D8" w:rsidRPr="000A29D8" w:rsidRDefault="000A29D8" w:rsidP="00BD414B">
            <w:pPr>
              <w:spacing w:after="0" w:line="240" w:lineRule="auto"/>
              <w:jc w:val="both"/>
              <w:rPr>
                <w:rFonts w:ascii="Garamond" w:eastAsia="Times New Roman" w:hAnsi="Garamond" w:cs="Arial"/>
              </w:rPr>
            </w:pPr>
          </w:p>
        </w:tc>
        <w:tc>
          <w:tcPr>
            <w:tcW w:w="889" w:type="dxa"/>
            <w:tcBorders>
              <w:top w:val="nil"/>
              <w:left w:val="single" w:sz="8" w:space="0" w:color="auto"/>
              <w:bottom w:val="single" w:sz="8" w:space="0" w:color="auto"/>
              <w:right w:val="single" w:sz="4" w:space="0" w:color="auto"/>
            </w:tcBorders>
            <w:shd w:val="clear" w:color="000000" w:fill="FFCC00"/>
            <w:vAlign w:val="center"/>
            <w:hideMark/>
          </w:tcPr>
          <w:p w14:paraId="7F1A9354"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Wskaźnik</w:t>
            </w:r>
          </w:p>
        </w:tc>
        <w:tc>
          <w:tcPr>
            <w:tcW w:w="900" w:type="dxa"/>
            <w:tcBorders>
              <w:top w:val="nil"/>
              <w:left w:val="nil"/>
              <w:bottom w:val="single" w:sz="8" w:space="0" w:color="auto"/>
              <w:right w:val="single" w:sz="8" w:space="0" w:color="auto"/>
            </w:tcBorders>
            <w:shd w:val="clear" w:color="000000" w:fill="FFCC00"/>
            <w:vAlign w:val="center"/>
            <w:hideMark/>
          </w:tcPr>
          <w:p w14:paraId="3992F0AE"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Ilość punktów</w:t>
            </w:r>
          </w:p>
        </w:tc>
        <w:tc>
          <w:tcPr>
            <w:tcW w:w="900" w:type="dxa"/>
            <w:tcBorders>
              <w:top w:val="nil"/>
              <w:left w:val="nil"/>
              <w:bottom w:val="single" w:sz="8" w:space="0" w:color="auto"/>
              <w:right w:val="single" w:sz="4" w:space="0" w:color="auto"/>
            </w:tcBorders>
            <w:shd w:val="clear" w:color="000000" w:fill="FFCC00"/>
            <w:vAlign w:val="center"/>
            <w:hideMark/>
          </w:tcPr>
          <w:p w14:paraId="55282418"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Wskaźnik</w:t>
            </w:r>
          </w:p>
        </w:tc>
        <w:tc>
          <w:tcPr>
            <w:tcW w:w="920" w:type="dxa"/>
            <w:tcBorders>
              <w:top w:val="nil"/>
              <w:left w:val="nil"/>
              <w:bottom w:val="single" w:sz="8" w:space="0" w:color="auto"/>
              <w:right w:val="nil"/>
            </w:tcBorders>
            <w:shd w:val="clear" w:color="000000" w:fill="FFCC00"/>
            <w:vAlign w:val="center"/>
            <w:hideMark/>
          </w:tcPr>
          <w:p w14:paraId="7FFD813C"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Ilość punktów</w:t>
            </w:r>
          </w:p>
        </w:tc>
        <w:tc>
          <w:tcPr>
            <w:tcW w:w="920" w:type="dxa"/>
            <w:tcBorders>
              <w:top w:val="nil"/>
              <w:left w:val="single" w:sz="8" w:space="0" w:color="auto"/>
              <w:bottom w:val="single" w:sz="8" w:space="0" w:color="auto"/>
              <w:right w:val="single" w:sz="4" w:space="0" w:color="auto"/>
            </w:tcBorders>
            <w:shd w:val="clear" w:color="000000" w:fill="FFCC00"/>
            <w:vAlign w:val="center"/>
            <w:hideMark/>
          </w:tcPr>
          <w:p w14:paraId="3B53D6CE"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Wskaźnik</w:t>
            </w:r>
          </w:p>
        </w:tc>
        <w:tc>
          <w:tcPr>
            <w:tcW w:w="920" w:type="dxa"/>
            <w:tcBorders>
              <w:top w:val="nil"/>
              <w:left w:val="nil"/>
              <w:bottom w:val="single" w:sz="8" w:space="0" w:color="auto"/>
              <w:right w:val="single" w:sz="8" w:space="0" w:color="auto"/>
            </w:tcBorders>
            <w:shd w:val="clear" w:color="000000" w:fill="FFCC00"/>
            <w:vAlign w:val="center"/>
            <w:hideMark/>
          </w:tcPr>
          <w:p w14:paraId="1A6467FE" w14:textId="77777777" w:rsidR="000A29D8" w:rsidRPr="000A29D8" w:rsidRDefault="000A29D8" w:rsidP="00BD414B">
            <w:pPr>
              <w:spacing w:after="0" w:line="240" w:lineRule="auto"/>
              <w:jc w:val="both"/>
              <w:rPr>
                <w:rFonts w:ascii="Garamond" w:eastAsia="Times New Roman" w:hAnsi="Garamond" w:cs="Arial"/>
                <w:b/>
                <w:bCs/>
                <w:sz w:val="18"/>
                <w:szCs w:val="18"/>
              </w:rPr>
            </w:pPr>
            <w:r w:rsidRPr="000A29D8">
              <w:rPr>
                <w:rFonts w:ascii="Garamond" w:eastAsia="Times New Roman" w:hAnsi="Garamond" w:cs="Arial"/>
                <w:b/>
                <w:bCs/>
                <w:sz w:val="18"/>
                <w:szCs w:val="18"/>
              </w:rPr>
              <w:t>Ilość punktów</w:t>
            </w:r>
          </w:p>
        </w:tc>
      </w:tr>
      <w:tr w:rsidR="000A29D8" w:rsidRPr="000A29D8" w14:paraId="2AE60997" w14:textId="77777777" w:rsidTr="00533864">
        <w:trPr>
          <w:trHeight w:val="720"/>
          <w:jc w:val="center"/>
        </w:trPr>
        <w:tc>
          <w:tcPr>
            <w:tcW w:w="1774" w:type="dxa"/>
            <w:vMerge w:val="restart"/>
            <w:tcBorders>
              <w:top w:val="nil"/>
              <w:left w:val="single" w:sz="8" w:space="0" w:color="auto"/>
              <w:bottom w:val="single" w:sz="8" w:space="0" w:color="000000"/>
              <w:right w:val="single" w:sz="8" w:space="0" w:color="auto"/>
            </w:tcBorders>
            <w:shd w:val="clear" w:color="000000" w:fill="969696"/>
            <w:vAlign w:val="center"/>
            <w:hideMark/>
          </w:tcPr>
          <w:p w14:paraId="387D6123"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I. WSKAŹNIKI ZYSKOWNOŚCI</w:t>
            </w:r>
          </w:p>
        </w:tc>
        <w:tc>
          <w:tcPr>
            <w:tcW w:w="2140" w:type="dxa"/>
            <w:tcBorders>
              <w:top w:val="nil"/>
              <w:left w:val="nil"/>
              <w:bottom w:val="single" w:sz="4" w:space="0" w:color="auto"/>
              <w:right w:val="nil"/>
            </w:tcBorders>
            <w:shd w:val="clear" w:color="auto" w:fill="auto"/>
            <w:vAlign w:val="center"/>
            <w:hideMark/>
          </w:tcPr>
          <w:p w14:paraId="3D044D3D"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xml:space="preserve">Wskaźnik zyskowności  netto  (%)                                                           </w:t>
            </w:r>
          </w:p>
        </w:tc>
        <w:tc>
          <w:tcPr>
            <w:tcW w:w="88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13E89C" w14:textId="0EAD5768"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0,</w:t>
            </w:r>
            <w:r w:rsidR="00583D39">
              <w:rPr>
                <w:rFonts w:ascii="Garamond" w:eastAsia="Times New Roman" w:hAnsi="Garamond" w:cs="Arial"/>
              </w:rPr>
              <w:t>81</w:t>
            </w:r>
            <w:r w:rsidRPr="000A29D8">
              <w:rPr>
                <w:rFonts w:ascii="Garamond" w:eastAsia="Times New Roman" w:hAnsi="Garamond" w:cs="Arial"/>
              </w:rPr>
              <w:t>%</w:t>
            </w:r>
          </w:p>
        </w:tc>
        <w:tc>
          <w:tcPr>
            <w:tcW w:w="900" w:type="dxa"/>
            <w:tcBorders>
              <w:top w:val="single" w:sz="4" w:space="0" w:color="auto"/>
              <w:left w:val="nil"/>
              <w:bottom w:val="single" w:sz="4" w:space="0" w:color="auto"/>
              <w:right w:val="single" w:sz="8" w:space="0" w:color="auto"/>
            </w:tcBorders>
            <w:shd w:val="clear" w:color="000000" w:fill="FFFFFF"/>
            <w:vAlign w:val="center"/>
            <w:hideMark/>
          </w:tcPr>
          <w:p w14:paraId="3BCFA581" w14:textId="77777777" w:rsidR="000A29D8" w:rsidRPr="000A29D8" w:rsidRDefault="000A29D8" w:rsidP="00BD414B">
            <w:pPr>
              <w:spacing w:after="0" w:line="240" w:lineRule="auto"/>
              <w:jc w:val="both"/>
              <w:rPr>
                <w:rFonts w:ascii="Comic Sans MS" w:eastAsia="Times New Roman" w:hAnsi="Comic Sans MS" w:cs="Arial"/>
                <w:sz w:val="20"/>
                <w:szCs w:val="20"/>
              </w:rPr>
            </w:pPr>
            <w:r w:rsidRPr="000A29D8">
              <w:rPr>
                <w:rFonts w:ascii="Comic Sans MS" w:eastAsia="Times New Roman" w:hAnsi="Comic Sans MS" w:cs="Arial"/>
                <w:sz w:val="20"/>
                <w:szCs w:val="20"/>
              </w:rPr>
              <w:t>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80D10DE" w14:textId="0758F1BF"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1,29</w:t>
            </w:r>
            <w:r w:rsidR="000A29D8" w:rsidRPr="000A29D8">
              <w:rPr>
                <w:rFonts w:ascii="Garamond" w:eastAsia="Times New Roman" w:hAnsi="Garamond" w:cs="Arial"/>
              </w:rPr>
              <w:t>%</w:t>
            </w:r>
          </w:p>
        </w:tc>
        <w:tc>
          <w:tcPr>
            <w:tcW w:w="920" w:type="dxa"/>
            <w:tcBorders>
              <w:top w:val="single" w:sz="4" w:space="0" w:color="auto"/>
              <w:left w:val="nil"/>
              <w:bottom w:val="single" w:sz="4" w:space="0" w:color="auto"/>
              <w:right w:val="nil"/>
            </w:tcBorders>
            <w:shd w:val="clear" w:color="000000" w:fill="FFFFFF"/>
            <w:vAlign w:val="center"/>
            <w:hideMark/>
          </w:tcPr>
          <w:p w14:paraId="184CE7AC" w14:textId="77777777" w:rsidR="000A29D8" w:rsidRPr="000A29D8" w:rsidRDefault="000A29D8" w:rsidP="00BD414B">
            <w:pPr>
              <w:spacing w:after="0" w:line="240" w:lineRule="auto"/>
              <w:jc w:val="both"/>
              <w:rPr>
                <w:rFonts w:ascii="Comic Sans MS" w:eastAsia="Times New Roman" w:hAnsi="Comic Sans MS" w:cs="Arial"/>
                <w:sz w:val="20"/>
                <w:szCs w:val="20"/>
              </w:rPr>
            </w:pPr>
            <w:r w:rsidRPr="000A29D8">
              <w:rPr>
                <w:rFonts w:ascii="Comic Sans MS" w:eastAsia="Times New Roman" w:hAnsi="Comic Sans MS" w:cs="Arial"/>
                <w:sz w:val="20"/>
                <w:szCs w:val="20"/>
              </w:rPr>
              <w:t>3</w:t>
            </w:r>
          </w:p>
        </w:tc>
        <w:tc>
          <w:tcPr>
            <w:tcW w:w="9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606ED9" w14:textId="2D82045F"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1,22</w:t>
            </w:r>
            <w:r w:rsidR="000A29D8" w:rsidRPr="000A29D8">
              <w:rPr>
                <w:rFonts w:ascii="Garamond" w:eastAsia="Times New Roman" w:hAnsi="Garamond" w:cs="Arial"/>
              </w:rPr>
              <w:t>%</w:t>
            </w:r>
          </w:p>
        </w:tc>
        <w:tc>
          <w:tcPr>
            <w:tcW w:w="920" w:type="dxa"/>
            <w:tcBorders>
              <w:top w:val="single" w:sz="4" w:space="0" w:color="auto"/>
              <w:left w:val="nil"/>
              <w:bottom w:val="single" w:sz="4" w:space="0" w:color="auto"/>
              <w:right w:val="single" w:sz="8" w:space="0" w:color="auto"/>
            </w:tcBorders>
            <w:shd w:val="clear" w:color="000000" w:fill="FFFFFF"/>
            <w:vAlign w:val="center"/>
            <w:hideMark/>
          </w:tcPr>
          <w:p w14:paraId="638971F7" w14:textId="77777777" w:rsidR="000A29D8" w:rsidRPr="000A29D8" w:rsidRDefault="000A29D8" w:rsidP="00BD414B">
            <w:pPr>
              <w:spacing w:after="0" w:line="240" w:lineRule="auto"/>
              <w:jc w:val="both"/>
              <w:rPr>
                <w:rFonts w:ascii="Comic Sans MS" w:eastAsia="Times New Roman" w:hAnsi="Comic Sans MS" w:cs="Arial"/>
                <w:sz w:val="20"/>
                <w:szCs w:val="20"/>
              </w:rPr>
            </w:pPr>
            <w:r w:rsidRPr="000A29D8">
              <w:rPr>
                <w:rFonts w:ascii="Comic Sans MS" w:eastAsia="Times New Roman" w:hAnsi="Comic Sans MS" w:cs="Arial"/>
                <w:sz w:val="20"/>
                <w:szCs w:val="20"/>
              </w:rPr>
              <w:t>3</w:t>
            </w:r>
          </w:p>
        </w:tc>
      </w:tr>
      <w:tr w:rsidR="000A29D8" w:rsidRPr="000A29D8" w14:paraId="392238E5" w14:textId="77777777" w:rsidTr="00533864">
        <w:trPr>
          <w:trHeight w:val="945"/>
          <w:jc w:val="center"/>
        </w:trPr>
        <w:tc>
          <w:tcPr>
            <w:tcW w:w="1774" w:type="dxa"/>
            <w:vMerge/>
            <w:tcBorders>
              <w:top w:val="nil"/>
              <w:left w:val="single" w:sz="8" w:space="0" w:color="auto"/>
              <w:bottom w:val="single" w:sz="8" w:space="0" w:color="000000"/>
              <w:right w:val="single" w:sz="8" w:space="0" w:color="auto"/>
            </w:tcBorders>
            <w:vAlign w:val="center"/>
            <w:hideMark/>
          </w:tcPr>
          <w:p w14:paraId="560ABF2B" w14:textId="77777777" w:rsidR="000A29D8" w:rsidRPr="000A29D8" w:rsidRDefault="000A29D8" w:rsidP="00BD414B">
            <w:pPr>
              <w:spacing w:after="0" w:line="240" w:lineRule="auto"/>
              <w:jc w:val="both"/>
              <w:rPr>
                <w:rFonts w:ascii="Garamond" w:eastAsia="Times New Roman" w:hAnsi="Garamond" w:cs="Arial"/>
                <w:b/>
                <w:bCs/>
                <w:sz w:val="20"/>
                <w:szCs w:val="20"/>
              </w:rPr>
            </w:pPr>
          </w:p>
        </w:tc>
        <w:tc>
          <w:tcPr>
            <w:tcW w:w="2140" w:type="dxa"/>
            <w:tcBorders>
              <w:top w:val="nil"/>
              <w:left w:val="nil"/>
              <w:bottom w:val="single" w:sz="4" w:space="0" w:color="auto"/>
              <w:right w:val="nil"/>
            </w:tcBorders>
            <w:shd w:val="clear" w:color="auto" w:fill="auto"/>
            <w:vAlign w:val="center"/>
            <w:hideMark/>
          </w:tcPr>
          <w:p w14:paraId="7554C23D"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xml:space="preserve">Wskaźnik zyskowności działalności operacyjnej (%)            </w:t>
            </w:r>
          </w:p>
        </w:tc>
        <w:tc>
          <w:tcPr>
            <w:tcW w:w="889" w:type="dxa"/>
            <w:tcBorders>
              <w:top w:val="nil"/>
              <w:left w:val="single" w:sz="8" w:space="0" w:color="auto"/>
              <w:bottom w:val="single" w:sz="4" w:space="0" w:color="auto"/>
              <w:right w:val="single" w:sz="4" w:space="0" w:color="auto"/>
            </w:tcBorders>
            <w:shd w:val="clear" w:color="auto" w:fill="auto"/>
            <w:vAlign w:val="center"/>
            <w:hideMark/>
          </w:tcPr>
          <w:p w14:paraId="4FAC9465" w14:textId="76461A16"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-0,50</w:t>
            </w:r>
            <w:r w:rsidR="000A29D8" w:rsidRPr="000A29D8">
              <w:rPr>
                <w:rFonts w:ascii="Garamond" w:eastAsia="Times New Roman" w:hAnsi="Garamond" w:cs="Arial"/>
              </w:rPr>
              <w:t>%</w:t>
            </w:r>
          </w:p>
        </w:tc>
        <w:tc>
          <w:tcPr>
            <w:tcW w:w="900" w:type="dxa"/>
            <w:tcBorders>
              <w:top w:val="nil"/>
              <w:left w:val="nil"/>
              <w:bottom w:val="single" w:sz="4" w:space="0" w:color="auto"/>
              <w:right w:val="single" w:sz="8" w:space="0" w:color="auto"/>
            </w:tcBorders>
            <w:shd w:val="clear" w:color="000000" w:fill="FFFFFF"/>
            <w:vAlign w:val="center"/>
            <w:hideMark/>
          </w:tcPr>
          <w:p w14:paraId="2AC5D8CF" w14:textId="5D779A03"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w:t>
            </w:r>
          </w:p>
        </w:tc>
        <w:tc>
          <w:tcPr>
            <w:tcW w:w="900" w:type="dxa"/>
            <w:tcBorders>
              <w:top w:val="nil"/>
              <w:left w:val="nil"/>
              <w:bottom w:val="single" w:sz="4" w:space="0" w:color="auto"/>
              <w:right w:val="single" w:sz="4" w:space="0" w:color="auto"/>
            </w:tcBorders>
            <w:shd w:val="clear" w:color="auto" w:fill="auto"/>
            <w:vAlign w:val="center"/>
            <w:hideMark/>
          </w:tcPr>
          <w:p w14:paraId="031B492E" w14:textId="1D1286E8"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-0,47</w:t>
            </w:r>
            <w:r w:rsidR="000A29D8" w:rsidRPr="000A29D8">
              <w:rPr>
                <w:rFonts w:ascii="Garamond" w:eastAsia="Times New Roman" w:hAnsi="Garamond" w:cs="Arial"/>
              </w:rPr>
              <w:t>%</w:t>
            </w:r>
          </w:p>
        </w:tc>
        <w:tc>
          <w:tcPr>
            <w:tcW w:w="920" w:type="dxa"/>
            <w:tcBorders>
              <w:top w:val="nil"/>
              <w:left w:val="nil"/>
              <w:bottom w:val="single" w:sz="4" w:space="0" w:color="auto"/>
              <w:right w:val="nil"/>
            </w:tcBorders>
            <w:shd w:val="clear" w:color="000000" w:fill="FFFFFF"/>
            <w:vAlign w:val="center"/>
            <w:hideMark/>
          </w:tcPr>
          <w:p w14:paraId="48D3243B" w14:textId="37A98048"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6721BFF4" w14:textId="07AB7933"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-0,47</w:t>
            </w:r>
            <w:r w:rsidR="000A29D8" w:rsidRPr="000A29D8">
              <w:rPr>
                <w:rFonts w:ascii="Garamond" w:eastAsia="Times New Roman" w:hAnsi="Garamond" w:cs="Arial"/>
              </w:rPr>
              <w:t>%</w:t>
            </w:r>
          </w:p>
        </w:tc>
        <w:tc>
          <w:tcPr>
            <w:tcW w:w="920" w:type="dxa"/>
            <w:tcBorders>
              <w:top w:val="nil"/>
              <w:left w:val="nil"/>
              <w:bottom w:val="single" w:sz="4" w:space="0" w:color="auto"/>
              <w:right w:val="single" w:sz="8" w:space="0" w:color="auto"/>
            </w:tcBorders>
            <w:shd w:val="clear" w:color="000000" w:fill="FFFFFF"/>
            <w:vAlign w:val="center"/>
            <w:hideMark/>
          </w:tcPr>
          <w:p w14:paraId="14CDE04A" w14:textId="498B8219" w:rsidR="000A29D8" w:rsidRPr="000A29D8" w:rsidRDefault="00583D39" w:rsidP="00BD414B">
            <w:pPr>
              <w:spacing w:after="0" w:line="240" w:lineRule="auto"/>
              <w:jc w:val="both"/>
              <w:rPr>
                <w:rFonts w:ascii="Garamond" w:eastAsia="Times New Roman" w:hAnsi="Garamond" w:cs="Arial"/>
              </w:rPr>
            </w:pPr>
            <w:r>
              <w:rPr>
                <w:rFonts w:ascii="Garamond" w:eastAsia="Times New Roman" w:hAnsi="Garamond" w:cs="Arial"/>
              </w:rPr>
              <w:t>0</w:t>
            </w:r>
          </w:p>
        </w:tc>
      </w:tr>
      <w:tr w:rsidR="000A29D8" w:rsidRPr="000A29D8" w14:paraId="178D57FC" w14:textId="77777777" w:rsidTr="00533864">
        <w:trPr>
          <w:trHeight w:val="675"/>
          <w:jc w:val="center"/>
        </w:trPr>
        <w:tc>
          <w:tcPr>
            <w:tcW w:w="1774" w:type="dxa"/>
            <w:vMerge/>
            <w:tcBorders>
              <w:top w:val="nil"/>
              <w:left w:val="single" w:sz="8" w:space="0" w:color="auto"/>
              <w:bottom w:val="single" w:sz="8" w:space="0" w:color="000000"/>
              <w:right w:val="single" w:sz="8" w:space="0" w:color="auto"/>
            </w:tcBorders>
            <w:vAlign w:val="center"/>
            <w:hideMark/>
          </w:tcPr>
          <w:p w14:paraId="70ED8400" w14:textId="77777777" w:rsidR="000A29D8" w:rsidRPr="000A29D8" w:rsidRDefault="000A29D8" w:rsidP="00BD414B">
            <w:pPr>
              <w:spacing w:after="0" w:line="240" w:lineRule="auto"/>
              <w:jc w:val="both"/>
              <w:rPr>
                <w:rFonts w:ascii="Garamond" w:eastAsia="Times New Roman" w:hAnsi="Garamond" w:cs="Arial"/>
                <w:b/>
                <w:bCs/>
                <w:sz w:val="20"/>
                <w:szCs w:val="20"/>
              </w:rPr>
            </w:pPr>
          </w:p>
        </w:tc>
        <w:tc>
          <w:tcPr>
            <w:tcW w:w="2140" w:type="dxa"/>
            <w:tcBorders>
              <w:top w:val="nil"/>
              <w:left w:val="nil"/>
              <w:bottom w:val="nil"/>
              <w:right w:val="nil"/>
            </w:tcBorders>
            <w:shd w:val="clear" w:color="auto" w:fill="auto"/>
            <w:vAlign w:val="center"/>
            <w:hideMark/>
          </w:tcPr>
          <w:p w14:paraId="62EDF9E5"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Wskaźnik zyskowność aktywów (%)</w:t>
            </w:r>
          </w:p>
        </w:tc>
        <w:tc>
          <w:tcPr>
            <w:tcW w:w="889" w:type="dxa"/>
            <w:tcBorders>
              <w:top w:val="nil"/>
              <w:left w:val="single" w:sz="8" w:space="0" w:color="auto"/>
              <w:bottom w:val="nil"/>
              <w:right w:val="single" w:sz="4" w:space="0" w:color="auto"/>
            </w:tcBorders>
            <w:shd w:val="clear" w:color="000000" w:fill="FFFFFF"/>
            <w:vAlign w:val="center"/>
            <w:hideMark/>
          </w:tcPr>
          <w:p w14:paraId="5E98B6CF" w14:textId="1C658E74" w:rsidR="000A29D8" w:rsidRPr="000A29D8" w:rsidRDefault="000A29D8" w:rsidP="00BD414B">
            <w:pPr>
              <w:spacing w:after="0" w:line="240" w:lineRule="auto"/>
              <w:jc w:val="both"/>
              <w:rPr>
                <w:rFonts w:ascii="Garamond" w:eastAsia="Times New Roman" w:hAnsi="Garamond" w:cs="Arial"/>
                <w:color w:val="000000"/>
              </w:rPr>
            </w:pPr>
            <w:r w:rsidRPr="000A29D8">
              <w:rPr>
                <w:rFonts w:ascii="Garamond" w:eastAsia="Times New Roman" w:hAnsi="Garamond" w:cs="Arial"/>
                <w:color w:val="000000"/>
              </w:rPr>
              <w:t>0,</w:t>
            </w:r>
            <w:r w:rsidR="00583D39">
              <w:rPr>
                <w:rFonts w:ascii="Garamond" w:eastAsia="Times New Roman" w:hAnsi="Garamond" w:cs="Arial"/>
                <w:color w:val="000000"/>
              </w:rPr>
              <w:t>75</w:t>
            </w:r>
            <w:r w:rsidRPr="000A29D8">
              <w:rPr>
                <w:rFonts w:ascii="Garamond" w:eastAsia="Times New Roman" w:hAnsi="Garamond" w:cs="Arial"/>
                <w:color w:val="000000"/>
              </w:rPr>
              <w:t>%</w:t>
            </w:r>
          </w:p>
        </w:tc>
        <w:tc>
          <w:tcPr>
            <w:tcW w:w="900" w:type="dxa"/>
            <w:tcBorders>
              <w:top w:val="nil"/>
              <w:left w:val="nil"/>
              <w:bottom w:val="single" w:sz="4" w:space="0" w:color="auto"/>
              <w:right w:val="single" w:sz="8" w:space="0" w:color="auto"/>
            </w:tcBorders>
            <w:shd w:val="clear" w:color="000000" w:fill="FFFFFF"/>
            <w:vAlign w:val="center"/>
            <w:hideMark/>
          </w:tcPr>
          <w:p w14:paraId="23A9FD44"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3</w:t>
            </w:r>
          </w:p>
        </w:tc>
        <w:tc>
          <w:tcPr>
            <w:tcW w:w="900" w:type="dxa"/>
            <w:tcBorders>
              <w:top w:val="nil"/>
              <w:left w:val="nil"/>
              <w:bottom w:val="nil"/>
              <w:right w:val="single" w:sz="4" w:space="0" w:color="auto"/>
            </w:tcBorders>
            <w:shd w:val="clear" w:color="000000" w:fill="FFFFFF"/>
            <w:vAlign w:val="center"/>
            <w:hideMark/>
          </w:tcPr>
          <w:p w14:paraId="4B65D9EB" w14:textId="1A5D213A" w:rsidR="000A29D8" w:rsidRPr="000A29D8" w:rsidRDefault="000A29D8" w:rsidP="00BD414B">
            <w:pPr>
              <w:spacing w:after="0" w:line="240" w:lineRule="auto"/>
              <w:jc w:val="both"/>
              <w:rPr>
                <w:rFonts w:ascii="Garamond" w:eastAsia="Times New Roman" w:hAnsi="Garamond" w:cs="Arial"/>
                <w:color w:val="000000"/>
              </w:rPr>
            </w:pPr>
            <w:r w:rsidRPr="000A29D8">
              <w:rPr>
                <w:rFonts w:ascii="Garamond" w:eastAsia="Times New Roman" w:hAnsi="Garamond" w:cs="Arial"/>
                <w:color w:val="000000"/>
              </w:rPr>
              <w:t>0,</w:t>
            </w:r>
            <w:r w:rsidR="00583D39">
              <w:rPr>
                <w:rFonts w:ascii="Garamond" w:eastAsia="Times New Roman" w:hAnsi="Garamond" w:cs="Arial"/>
                <w:color w:val="000000"/>
              </w:rPr>
              <w:t>75</w:t>
            </w:r>
            <w:r w:rsidRPr="000A29D8">
              <w:rPr>
                <w:rFonts w:ascii="Garamond" w:eastAsia="Times New Roman" w:hAnsi="Garamond" w:cs="Arial"/>
                <w:color w:val="000000"/>
              </w:rPr>
              <w:t>%</w:t>
            </w:r>
          </w:p>
        </w:tc>
        <w:tc>
          <w:tcPr>
            <w:tcW w:w="920" w:type="dxa"/>
            <w:tcBorders>
              <w:top w:val="nil"/>
              <w:left w:val="nil"/>
              <w:bottom w:val="single" w:sz="4" w:space="0" w:color="auto"/>
              <w:right w:val="nil"/>
            </w:tcBorders>
            <w:shd w:val="clear" w:color="000000" w:fill="FFFFFF"/>
            <w:vAlign w:val="center"/>
            <w:hideMark/>
          </w:tcPr>
          <w:p w14:paraId="1D65D966"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3</w:t>
            </w:r>
          </w:p>
        </w:tc>
        <w:tc>
          <w:tcPr>
            <w:tcW w:w="920" w:type="dxa"/>
            <w:tcBorders>
              <w:top w:val="nil"/>
              <w:left w:val="single" w:sz="8" w:space="0" w:color="auto"/>
              <w:bottom w:val="single" w:sz="8" w:space="0" w:color="auto"/>
              <w:right w:val="single" w:sz="4" w:space="0" w:color="auto"/>
            </w:tcBorders>
            <w:shd w:val="clear" w:color="000000" w:fill="FFFFFF"/>
            <w:vAlign w:val="center"/>
            <w:hideMark/>
          </w:tcPr>
          <w:p w14:paraId="6751ED67" w14:textId="2DDA3A7F" w:rsidR="000A29D8" w:rsidRPr="000A29D8" w:rsidRDefault="000A29D8" w:rsidP="00BD414B">
            <w:pPr>
              <w:spacing w:after="0" w:line="240" w:lineRule="auto"/>
              <w:jc w:val="both"/>
              <w:rPr>
                <w:rFonts w:ascii="Garamond" w:eastAsia="Times New Roman" w:hAnsi="Garamond" w:cs="Arial"/>
                <w:color w:val="000000"/>
              </w:rPr>
            </w:pPr>
            <w:r w:rsidRPr="000A29D8">
              <w:rPr>
                <w:rFonts w:ascii="Garamond" w:eastAsia="Times New Roman" w:hAnsi="Garamond" w:cs="Arial"/>
                <w:color w:val="000000"/>
              </w:rPr>
              <w:t>0,</w:t>
            </w:r>
            <w:r w:rsidR="00583D39">
              <w:rPr>
                <w:rFonts w:ascii="Garamond" w:eastAsia="Times New Roman" w:hAnsi="Garamond" w:cs="Arial"/>
                <w:color w:val="000000"/>
              </w:rPr>
              <w:t>74</w:t>
            </w:r>
            <w:r w:rsidRPr="000A29D8">
              <w:rPr>
                <w:rFonts w:ascii="Garamond" w:eastAsia="Times New Roman" w:hAnsi="Garamond" w:cs="Arial"/>
                <w:color w:val="000000"/>
              </w:rPr>
              <w:t>%</w:t>
            </w:r>
          </w:p>
        </w:tc>
        <w:tc>
          <w:tcPr>
            <w:tcW w:w="920" w:type="dxa"/>
            <w:tcBorders>
              <w:top w:val="nil"/>
              <w:left w:val="nil"/>
              <w:bottom w:val="single" w:sz="8" w:space="0" w:color="auto"/>
              <w:right w:val="single" w:sz="8" w:space="0" w:color="auto"/>
            </w:tcBorders>
            <w:shd w:val="clear" w:color="000000" w:fill="FFFFFF"/>
            <w:vAlign w:val="center"/>
            <w:hideMark/>
          </w:tcPr>
          <w:p w14:paraId="4D0D6FF8"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3</w:t>
            </w:r>
          </w:p>
        </w:tc>
      </w:tr>
      <w:tr w:rsidR="000A29D8" w:rsidRPr="000A29D8" w14:paraId="7E73A9E6" w14:textId="77777777" w:rsidTr="00533864">
        <w:trPr>
          <w:trHeight w:val="315"/>
          <w:jc w:val="center"/>
        </w:trPr>
        <w:tc>
          <w:tcPr>
            <w:tcW w:w="3914" w:type="dxa"/>
            <w:gridSpan w:val="2"/>
            <w:tcBorders>
              <w:top w:val="single" w:sz="8" w:space="0" w:color="auto"/>
              <w:left w:val="nil"/>
              <w:bottom w:val="nil"/>
              <w:right w:val="nil"/>
            </w:tcBorders>
            <w:shd w:val="clear" w:color="000000" w:fill="FFFFFF"/>
            <w:noWrap/>
            <w:vAlign w:val="center"/>
            <w:hideMark/>
          </w:tcPr>
          <w:p w14:paraId="24751EB0"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889" w:type="dxa"/>
            <w:tcBorders>
              <w:top w:val="single" w:sz="8" w:space="0" w:color="auto"/>
              <w:left w:val="single" w:sz="8" w:space="0" w:color="auto"/>
              <w:bottom w:val="single" w:sz="8" w:space="0" w:color="auto"/>
              <w:right w:val="nil"/>
            </w:tcBorders>
            <w:shd w:val="clear" w:color="000000" w:fill="969696"/>
            <w:vAlign w:val="center"/>
            <w:hideMark/>
          </w:tcPr>
          <w:p w14:paraId="3C270BFF"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Razem</w:t>
            </w:r>
          </w:p>
        </w:tc>
        <w:tc>
          <w:tcPr>
            <w:tcW w:w="900" w:type="dxa"/>
            <w:tcBorders>
              <w:top w:val="single" w:sz="8" w:space="0" w:color="auto"/>
              <w:left w:val="nil"/>
              <w:bottom w:val="single" w:sz="8" w:space="0" w:color="auto"/>
              <w:right w:val="single" w:sz="8" w:space="0" w:color="auto"/>
            </w:tcBorders>
            <w:shd w:val="clear" w:color="000000" w:fill="969696"/>
            <w:vAlign w:val="center"/>
            <w:hideMark/>
          </w:tcPr>
          <w:p w14:paraId="4104091B" w14:textId="12CFAC96" w:rsidR="000A29D8" w:rsidRPr="000A29D8" w:rsidRDefault="00583D39" w:rsidP="00BD414B">
            <w:pPr>
              <w:spacing w:after="0" w:line="240" w:lineRule="auto"/>
              <w:jc w:val="both"/>
              <w:rPr>
                <w:rFonts w:ascii="Garamond" w:eastAsia="Times New Roman" w:hAnsi="Garamond" w:cs="Arial"/>
                <w:b/>
                <w:bCs/>
              </w:rPr>
            </w:pPr>
            <w:r>
              <w:rPr>
                <w:rFonts w:ascii="Garamond" w:eastAsia="Times New Roman" w:hAnsi="Garamond" w:cs="Arial"/>
                <w:b/>
                <w:bCs/>
              </w:rPr>
              <w:t>6</w:t>
            </w:r>
          </w:p>
        </w:tc>
        <w:tc>
          <w:tcPr>
            <w:tcW w:w="900" w:type="dxa"/>
            <w:tcBorders>
              <w:top w:val="single" w:sz="8" w:space="0" w:color="auto"/>
              <w:left w:val="nil"/>
              <w:bottom w:val="single" w:sz="8" w:space="0" w:color="auto"/>
              <w:right w:val="nil"/>
            </w:tcBorders>
            <w:shd w:val="clear" w:color="000000" w:fill="969696"/>
            <w:vAlign w:val="center"/>
            <w:hideMark/>
          </w:tcPr>
          <w:p w14:paraId="52DE37FC"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32169CF5" w14:textId="1A933220" w:rsidR="000A29D8" w:rsidRPr="000A29D8" w:rsidRDefault="00583D39" w:rsidP="00BD414B">
            <w:pPr>
              <w:spacing w:after="0" w:line="240" w:lineRule="auto"/>
              <w:jc w:val="both"/>
              <w:rPr>
                <w:rFonts w:ascii="Garamond" w:eastAsia="Times New Roman" w:hAnsi="Garamond" w:cs="Arial"/>
                <w:b/>
                <w:bCs/>
              </w:rPr>
            </w:pPr>
            <w:r>
              <w:rPr>
                <w:rFonts w:ascii="Garamond" w:eastAsia="Times New Roman" w:hAnsi="Garamond" w:cs="Arial"/>
                <w:b/>
                <w:bCs/>
              </w:rPr>
              <w:t>6</w:t>
            </w:r>
          </w:p>
        </w:tc>
        <w:tc>
          <w:tcPr>
            <w:tcW w:w="920" w:type="dxa"/>
            <w:tcBorders>
              <w:top w:val="nil"/>
              <w:left w:val="nil"/>
              <w:bottom w:val="single" w:sz="8" w:space="0" w:color="auto"/>
              <w:right w:val="nil"/>
            </w:tcBorders>
            <w:shd w:val="clear" w:color="000000" w:fill="969696"/>
            <w:vAlign w:val="center"/>
            <w:hideMark/>
          </w:tcPr>
          <w:p w14:paraId="289037C0"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nil"/>
              <w:left w:val="nil"/>
              <w:bottom w:val="single" w:sz="8" w:space="0" w:color="auto"/>
              <w:right w:val="single" w:sz="8" w:space="0" w:color="auto"/>
            </w:tcBorders>
            <w:shd w:val="clear" w:color="000000" w:fill="969696"/>
            <w:vAlign w:val="center"/>
            <w:hideMark/>
          </w:tcPr>
          <w:p w14:paraId="3FB784EF" w14:textId="644B9361" w:rsidR="000A29D8" w:rsidRPr="000A29D8" w:rsidRDefault="00583D39" w:rsidP="00BD414B">
            <w:pPr>
              <w:spacing w:after="0" w:line="240" w:lineRule="auto"/>
              <w:jc w:val="both"/>
              <w:rPr>
                <w:rFonts w:ascii="Garamond" w:eastAsia="Times New Roman" w:hAnsi="Garamond" w:cs="Arial"/>
                <w:b/>
                <w:bCs/>
              </w:rPr>
            </w:pPr>
            <w:r>
              <w:rPr>
                <w:rFonts w:ascii="Garamond" w:eastAsia="Times New Roman" w:hAnsi="Garamond" w:cs="Arial"/>
                <w:b/>
                <w:bCs/>
              </w:rPr>
              <w:t>6</w:t>
            </w:r>
          </w:p>
        </w:tc>
      </w:tr>
      <w:tr w:rsidR="000A29D8" w:rsidRPr="000A29D8" w14:paraId="40654CD0" w14:textId="77777777" w:rsidTr="00533864">
        <w:trPr>
          <w:trHeight w:val="120"/>
          <w:jc w:val="center"/>
        </w:trPr>
        <w:tc>
          <w:tcPr>
            <w:tcW w:w="1774" w:type="dxa"/>
            <w:tcBorders>
              <w:top w:val="nil"/>
              <w:left w:val="nil"/>
              <w:bottom w:val="nil"/>
              <w:right w:val="nil"/>
            </w:tcBorders>
            <w:shd w:val="clear" w:color="000000" w:fill="FFFFFF"/>
            <w:noWrap/>
            <w:vAlign w:val="center"/>
            <w:hideMark/>
          </w:tcPr>
          <w:p w14:paraId="3649DE08"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2140" w:type="dxa"/>
            <w:tcBorders>
              <w:top w:val="nil"/>
              <w:left w:val="nil"/>
              <w:bottom w:val="nil"/>
              <w:right w:val="nil"/>
            </w:tcBorders>
            <w:shd w:val="clear" w:color="000000" w:fill="FFFFFF"/>
            <w:noWrap/>
            <w:vAlign w:val="center"/>
            <w:hideMark/>
          </w:tcPr>
          <w:p w14:paraId="4AD7ADF3"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889" w:type="dxa"/>
            <w:tcBorders>
              <w:top w:val="nil"/>
              <w:left w:val="nil"/>
              <w:bottom w:val="nil"/>
              <w:right w:val="nil"/>
            </w:tcBorders>
            <w:shd w:val="clear" w:color="000000" w:fill="FFFFFF"/>
            <w:vAlign w:val="center"/>
            <w:hideMark/>
          </w:tcPr>
          <w:p w14:paraId="4F392356" w14:textId="77777777" w:rsidR="000A29D8" w:rsidRPr="000A29D8" w:rsidRDefault="000A29D8" w:rsidP="00BD414B">
            <w:pPr>
              <w:spacing w:after="0" w:line="240" w:lineRule="auto"/>
              <w:jc w:val="both"/>
              <w:rPr>
                <w:rFonts w:ascii="Garamond" w:eastAsia="Times New Roman" w:hAnsi="Garamond" w:cs="Arial"/>
                <w:color w:val="000000"/>
                <w:sz w:val="20"/>
                <w:szCs w:val="20"/>
              </w:rPr>
            </w:pPr>
            <w:r w:rsidRPr="000A29D8">
              <w:rPr>
                <w:rFonts w:ascii="Garamond" w:eastAsia="Times New Roman" w:hAnsi="Garamond" w:cs="Arial"/>
                <w:color w:val="000000"/>
                <w:sz w:val="20"/>
                <w:szCs w:val="20"/>
              </w:rPr>
              <w:t> </w:t>
            </w:r>
          </w:p>
        </w:tc>
        <w:tc>
          <w:tcPr>
            <w:tcW w:w="900" w:type="dxa"/>
            <w:tcBorders>
              <w:top w:val="nil"/>
              <w:left w:val="nil"/>
              <w:bottom w:val="nil"/>
              <w:right w:val="nil"/>
            </w:tcBorders>
            <w:shd w:val="clear" w:color="000000" w:fill="FFFFFF"/>
            <w:vAlign w:val="center"/>
            <w:hideMark/>
          </w:tcPr>
          <w:p w14:paraId="5E0D6ED6"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 </w:t>
            </w:r>
          </w:p>
        </w:tc>
        <w:tc>
          <w:tcPr>
            <w:tcW w:w="900" w:type="dxa"/>
            <w:tcBorders>
              <w:top w:val="nil"/>
              <w:left w:val="nil"/>
              <w:bottom w:val="nil"/>
              <w:right w:val="nil"/>
            </w:tcBorders>
            <w:shd w:val="clear" w:color="000000" w:fill="FFFFFF"/>
            <w:vAlign w:val="center"/>
            <w:hideMark/>
          </w:tcPr>
          <w:p w14:paraId="4461E45B" w14:textId="77777777" w:rsidR="000A29D8" w:rsidRPr="000A29D8" w:rsidRDefault="000A29D8" w:rsidP="00BD414B">
            <w:pPr>
              <w:spacing w:after="0" w:line="240" w:lineRule="auto"/>
              <w:jc w:val="both"/>
              <w:rPr>
                <w:rFonts w:ascii="Garamond" w:eastAsia="Times New Roman" w:hAnsi="Garamond" w:cs="Arial"/>
                <w:color w:val="000000"/>
                <w:sz w:val="20"/>
                <w:szCs w:val="20"/>
              </w:rPr>
            </w:pPr>
            <w:r w:rsidRPr="000A29D8">
              <w:rPr>
                <w:rFonts w:ascii="Garamond" w:eastAsia="Times New Roman" w:hAnsi="Garamond" w:cs="Arial"/>
                <w:color w:val="000000"/>
                <w:sz w:val="20"/>
                <w:szCs w:val="20"/>
              </w:rPr>
              <w:t> </w:t>
            </w:r>
          </w:p>
        </w:tc>
        <w:tc>
          <w:tcPr>
            <w:tcW w:w="920" w:type="dxa"/>
            <w:tcBorders>
              <w:top w:val="nil"/>
              <w:left w:val="nil"/>
              <w:bottom w:val="nil"/>
              <w:right w:val="nil"/>
            </w:tcBorders>
            <w:shd w:val="clear" w:color="000000" w:fill="FFFFFF"/>
            <w:vAlign w:val="center"/>
            <w:hideMark/>
          </w:tcPr>
          <w:p w14:paraId="7A823E03"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 </w:t>
            </w:r>
          </w:p>
        </w:tc>
        <w:tc>
          <w:tcPr>
            <w:tcW w:w="920" w:type="dxa"/>
            <w:tcBorders>
              <w:top w:val="nil"/>
              <w:left w:val="nil"/>
              <w:bottom w:val="nil"/>
              <w:right w:val="nil"/>
            </w:tcBorders>
            <w:shd w:val="clear" w:color="000000" w:fill="FFFFFF"/>
            <w:vAlign w:val="center"/>
            <w:hideMark/>
          </w:tcPr>
          <w:p w14:paraId="7191F9D0" w14:textId="77777777" w:rsidR="000A29D8" w:rsidRPr="000A29D8" w:rsidRDefault="000A29D8" w:rsidP="00BD414B">
            <w:pPr>
              <w:spacing w:after="0" w:line="240" w:lineRule="auto"/>
              <w:jc w:val="both"/>
              <w:rPr>
                <w:rFonts w:ascii="Garamond" w:eastAsia="Times New Roman" w:hAnsi="Garamond" w:cs="Arial"/>
                <w:color w:val="000000"/>
                <w:sz w:val="20"/>
                <w:szCs w:val="20"/>
              </w:rPr>
            </w:pPr>
            <w:r w:rsidRPr="000A29D8">
              <w:rPr>
                <w:rFonts w:ascii="Garamond" w:eastAsia="Times New Roman" w:hAnsi="Garamond" w:cs="Arial"/>
                <w:color w:val="000000"/>
                <w:sz w:val="20"/>
                <w:szCs w:val="20"/>
              </w:rPr>
              <w:t> </w:t>
            </w:r>
          </w:p>
        </w:tc>
        <w:tc>
          <w:tcPr>
            <w:tcW w:w="920" w:type="dxa"/>
            <w:tcBorders>
              <w:top w:val="nil"/>
              <w:left w:val="nil"/>
              <w:bottom w:val="nil"/>
              <w:right w:val="nil"/>
            </w:tcBorders>
            <w:shd w:val="clear" w:color="000000" w:fill="FFFFFF"/>
            <w:vAlign w:val="center"/>
            <w:hideMark/>
          </w:tcPr>
          <w:p w14:paraId="0829A32B"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 </w:t>
            </w:r>
          </w:p>
        </w:tc>
      </w:tr>
      <w:tr w:rsidR="000A29D8" w:rsidRPr="000A29D8" w14:paraId="53F73F66" w14:textId="77777777" w:rsidTr="00533864">
        <w:trPr>
          <w:trHeight w:val="735"/>
          <w:jc w:val="center"/>
        </w:trPr>
        <w:tc>
          <w:tcPr>
            <w:tcW w:w="177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09409724"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II. WSKAŹNIKI PŁYNNOŚCI</w:t>
            </w:r>
          </w:p>
        </w:tc>
        <w:tc>
          <w:tcPr>
            <w:tcW w:w="2140" w:type="dxa"/>
            <w:tcBorders>
              <w:top w:val="single" w:sz="8" w:space="0" w:color="auto"/>
              <w:left w:val="nil"/>
              <w:bottom w:val="single" w:sz="4" w:space="0" w:color="auto"/>
              <w:right w:val="nil"/>
            </w:tcBorders>
            <w:shd w:val="clear" w:color="auto" w:fill="auto"/>
            <w:vAlign w:val="center"/>
            <w:hideMark/>
          </w:tcPr>
          <w:p w14:paraId="0DF2EFD0"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xml:space="preserve">Wskaźnik bieżącej płynności                                           </w:t>
            </w:r>
          </w:p>
        </w:tc>
        <w:tc>
          <w:tcPr>
            <w:tcW w:w="88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BE6A6BA" w14:textId="6151A786"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8,75</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14:paraId="1A96EED6"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2B55433D" w14:textId="1BCB5667"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8,96</w:t>
            </w:r>
          </w:p>
        </w:tc>
        <w:tc>
          <w:tcPr>
            <w:tcW w:w="920" w:type="dxa"/>
            <w:tcBorders>
              <w:top w:val="single" w:sz="8" w:space="0" w:color="auto"/>
              <w:left w:val="nil"/>
              <w:bottom w:val="single" w:sz="4" w:space="0" w:color="auto"/>
              <w:right w:val="nil"/>
            </w:tcBorders>
            <w:shd w:val="clear" w:color="000000" w:fill="FFFFFF"/>
            <w:vAlign w:val="center"/>
            <w:hideMark/>
          </w:tcPr>
          <w:p w14:paraId="0101372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AEA625" w14:textId="3C7F55C4"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w:t>
            </w:r>
            <w:r w:rsidR="006079AE">
              <w:rPr>
                <w:rFonts w:ascii="Garamond" w:eastAsia="Times New Roman" w:hAnsi="Garamond" w:cs="Arial"/>
              </w:rPr>
              <w:t>4,92</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1528A965"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r>
      <w:tr w:rsidR="000A29D8" w:rsidRPr="000A29D8" w14:paraId="069E17F2" w14:textId="77777777" w:rsidTr="00533864">
        <w:trPr>
          <w:trHeight w:val="720"/>
          <w:jc w:val="center"/>
        </w:trPr>
        <w:tc>
          <w:tcPr>
            <w:tcW w:w="1774" w:type="dxa"/>
            <w:vMerge/>
            <w:tcBorders>
              <w:top w:val="single" w:sz="8" w:space="0" w:color="auto"/>
              <w:left w:val="single" w:sz="8" w:space="0" w:color="auto"/>
              <w:bottom w:val="single" w:sz="8" w:space="0" w:color="000000"/>
              <w:right w:val="single" w:sz="8" w:space="0" w:color="auto"/>
            </w:tcBorders>
            <w:vAlign w:val="center"/>
            <w:hideMark/>
          </w:tcPr>
          <w:p w14:paraId="4F481AFC" w14:textId="77777777" w:rsidR="000A29D8" w:rsidRPr="000A29D8" w:rsidRDefault="000A29D8" w:rsidP="00BD414B">
            <w:pPr>
              <w:spacing w:after="0" w:line="240" w:lineRule="auto"/>
              <w:jc w:val="both"/>
              <w:rPr>
                <w:rFonts w:ascii="Garamond" w:eastAsia="Times New Roman" w:hAnsi="Garamond" w:cs="Arial"/>
                <w:b/>
                <w:bCs/>
                <w:sz w:val="20"/>
                <w:szCs w:val="20"/>
              </w:rPr>
            </w:pPr>
          </w:p>
        </w:tc>
        <w:tc>
          <w:tcPr>
            <w:tcW w:w="2140" w:type="dxa"/>
            <w:tcBorders>
              <w:top w:val="nil"/>
              <w:left w:val="nil"/>
              <w:bottom w:val="single" w:sz="4" w:space="0" w:color="auto"/>
              <w:right w:val="nil"/>
            </w:tcBorders>
            <w:shd w:val="clear" w:color="auto" w:fill="auto"/>
            <w:vAlign w:val="center"/>
            <w:hideMark/>
          </w:tcPr>
          <w:p w14:paraId="1C401F7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Wskaźnik szybkiej płynności</w:t>
            </w:r>
          </w:p>
        </w:tc>
        <w:tc>
          <w:tcPr>
            <w:tcW w:w="889" w:type="dxa"/>
            <w:tcBorders>
              <w:top w:val="nil"/>
              <w:left w:val="single" w:sz="8" w:space="0" w:color="auto"/>
              <w:bottom w:val="single" w:sz="4" w:space="0" w:color="auto"/>
              <w:right w:val="single" w:sz="4" w:space="0" w:color="auto"/>
            </w:tcBorders>
            <w:shd w:val="clear" w:color="auto" w:fill="auto"/>
            <w:vAlign w:val="center"/>
            <w:hideMark/>
          </w:tcPr>
          <w:p w14:paraId="63051ED4" w14:textId="78F6549F"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8,75</w:t>
            </w:r>
          </w:p>
        </w:tc>
        <w:tc>
          <w:tcPr>
            <w:tcW w:w="900" w:type="dxa"/>
            <w:tcBorders>
              <w:top w:val="nil"/>
              <w:left w:val="nil"/>
              <w:bottom w:val="single" w:sz="4" w:space="0" w:color="auto"/>
              <w:right w:val="single" w:sz="8" w:space="0" w:color="auto"/>
            </w:tcBorders>
            <w:shd w:val="clear" w:color="000000" w:fill="FFFFFF"/>
            <w:vAlign w:val="center"/>
            <w:hideMark/>
          </w:tcPr>
          <w:p w14:paraId="567CA719"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00" w:type="dxa"/>
            <w:tcBorders>
              <w:top w:val="nil"/>
              <w:left w:val="nil"/>
              <w:bottom w:val="single" w:sz="4" w:space="0" w:color="auto"/>
              <w:right w:val="single" w:sz="4" w:space="0" w:color="auto"/>
            </w:tcBorders>
            <w:shd w:val="clear" w:color="auto" w:fill="auto"/>
            <w:vAlign w:val="center"/>
            <w:hideMark/>
          </w:tcPr>
          <w:p w14:paraId="07233C22" w14:textId="04A19E47"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8,96</w:t>
            </w:r>
          </w:p>
        </w:tc>
        <w:tc>
          <w:tcPr>
            <w:tcW w:w="920" w:type="dxa"/>
            <w:tcBorders>
              <w:top w:val="nil"/>
              <w:left w:val="nil"/>
              <w:bottom w:val="single" w:sz="4" w:space="0" w:color="auto"/>
              <w:right w:val="nil"/>
            </w:tcBorders>
            <w:shd w:val="clear" w:color="000000" w:fill="FFFFFF"/>
            <w:vAlign w:val="center"/>
            <w:hideMark/>
          </w:tcPr>
          <w:p w14:paraId="6DC693DB"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7623188A" w14:textId="08AEADC2"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w:t>
            </w:r>
            <w:r w:rsidR="006079AE">
              <w:rPr>
                <w:rFonts w:ascii="Garamond" w:eastAsia="Times New Roman" w:hAnsi="Garamond" w:cs="Arial"/>
              </w:rPr>
              <w:t>4,92</w:t>
            </w:r>
          </w:p>
        </w:tc>
        <w:tc>
          <w:tcPr>
            <w:tcW w:w="920" w:type="dxa"/>
            <w:tcBorders>
              <w:top w:val="nil"/>
              <w:left w:val="nil"/>
              <w:bottom w:val="single" w:sz="4" w:space="0" w:color="auto"/>
              <w:right w:val="single" w:sz="8" w:space="0" w:color="auto"/>
            </w:tcBorders>
            <w:shd w:val="clear" w:color="000000" w:fill="FFFFFF"/>
            <w:vAlign w:val="center"/>
            <w:hideMark/>
          </w:tcPr>
          <w:p w14:paraId="3B715A33"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r>
      <w:tr w:rsidR="000A29D8" w:rsidRPr="000A29D8" w14:paraId="051E205C" w14:textId="77777777" w:rsidTr="00533864">
        <w:trPr>
          <w:trHeight w:val="360"/>
          <w:jc w:val="center"/>
        </w:trPr>
        <w:tc>
          <w:tcPr>
            <w:tcW w:w="3914" w:type="dxa"/>
            <w:gridSpan w:val="2"/>
            <w:tcBorders>
              <w:top w:val="single" w:sz="8" w:space="0" w:color="auto"/>
              <w:left w:val="nil"/>
              <w:bottom w:val="nil"/>
              <w:right w:val="nil"/>
            </w:tcBorders>
            <w:shd w:val="clear" w:color="000000" w:fill="FFFFFF"/>
            <w:noWrap/>
            <w:vAlign w:val="center"/>
            <w:hideMark/>
          </w:tcPr>
          <w:p w14:paraId="7A0941FA"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889" w:type="dxa"/>
            <w:tcBorders>
              <w:top w:val="single" w:sz="8" w:space="0" w:color="auto"/>
              <w:left w:val="single" w:sz="8" w:space="0" w:color="auto"/>
              <w:bottom w:val="single" w:sz="8" w:space="0" w:color="auto"/>
              <w:right w:val="nil"/>
            </w:tcBorders>
            <w:shd w:val="clear" w:color="000000" w:fill="969696"/>
            <w:vAlign w:val="center"/>
            <w:hideMark/>
          </w:tcPr>
          <w:p w14:paraId="50351452"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Razem</w:t>
            </w:r>
          </w:p>
        </w:tc>
        <w:tc>
          <w:tcPr>
            <w:tcW w:w="900" w:type="dxa"/>
            <w:tcBorders>
              <w:top w:val="single" w:sz="8" w:space="0" w:color="auto"/>
              <w:left w:val="nil"/>
              <w:bottom w:val="single" w:sz="8" w:space="0" w:color="auto"/>
              <w:right w:val="single" w:sz="8" w:space="0" w:color="auto"/>
            </w:tcBorders>
            <w:shd w:val="clear" w:color="000000" w:fill="969696"/>
            <w:vAlign w:val="center"/>
            <w:hideMark/>
          </w:tcPr>
          <w:p w14:paraId="1F597B69"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c>
          <w:tcPr>
            <w:tcW w:w="900" w:type="dxa"/>
            <w:tcBorders>
              <w:top w:val="single" w:sz="8" w:space="0" w:color="auto"/>
              <w:left w:val="nil"/>
              <w:bottom w:val="single" w:sz="8" w:space="0" w:color="auto"/>
              <w:right w:val="nil"/>
            </w:tcBorders>
            <w:shd w:val="clear" w:color="000000" w:fill="969696"/>
            <w:vAlign w:val="center"/>
            <w:hideMark/>
          </w:tcPr>
          <w:p w14:paraId="46E03B05"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nil"/>
            </w:tcBorders>
            <w:shd w:val="clear" w:color="000000" w:fill="969696"/>
            <w:vAlign w:val="center"/>
            <w:hideMark/>
          </w:tcPr>
          <w:p w14:paraId="2344FA6C"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2847BF47"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6381C98D"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r>
      <w:tr w:rsidR="000A29D8" w:rsidRPr="000A29D8" w14:paraId="798B1D89" w14:textId="77777777" w:rsidTr="00533864">
        <w:trPr>
          <w:trHeight w:val="120"/>
          <w:jc w:val="center"/>
        </w:trPr>
        <w:tc>
          <w:tcPr>
            <w:tcW w:w="1774" w:type="dxa"/>
            <w:tcBorders>
              <w:top w:val="nil"/>
              <w:left w:val="nil"/>
              <w:bottom w:val="nil"/>
              <w:right w:val="nil"/>
            </w:tcBorders>
            <w:shd w:val="clear" w:color="auto" w:fill="auto"/>
            <w:noWrap/>
            <w:vAlign w:val="center"/>
            <w:hideMark/>
          </w:tcPr>
          <w:p w14:paraId="6FCC1FBE" w14:textId="77777777" w:rsidR="000A29D8" w:rsidRPr="000A29D8" w:rsidRDefault="000A29D8" w:rsidP="00BD414B">
            <w:pPr>
              <w:spacing w:after="0" w:line="240" w:lineRule="auto"/>
              <w:jc w:val="both"/>
              <w:rPr>
                <w:rFonts w:ascii="Garamond" w:eastAsia="Times New Roman" w:hAnsi="Garamond" w:cs="Arial"/>
                <w:b/>
                <w:bCs/>
              </w:rPr>
            </w:pPr>
          </w:p>
        </w:tc>
        <w:tc>
          <w:tcPr>
            <w:tcW w:w="2140" w:type="dxa"/>
            <w:tcBorders>
              <w:top w:val="nil"/>
              <w:left w:val="nil"/>
              <w:bottom w:val="nil"/>
              <w:right w:val="nil"/>
            </w:tcBorders>
            <w:shd w:val="clear" w:color="auto" w:fill="auto"/>
            <w:vAlign w:val="center"/>
            <w:hideMark/>
          </w:tcPr>
          <w:p w14:paraId="04EAB051"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889" w:type="dxa"/>
            <w:tcBorders>
              <w:top w:val="single" w:sz="4" w:space="0" w:color="auto"/>
              <w:left w:val="nil"/>
              <w:bottom w:val="nil"/>
              <w:right w:val="nil"/>
            </w:tcBorders>
            <w:shd w:val="clear" w:color="auto" w:fill="auto"/>
            <w:vAlign w:val="center"/>
            <w:hideMark/>
          </w:tcPr>
          <w:p w14:paraId="3A7AC34E"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c>
          <w:tcPr>
            <w:tcW w:w="900" w:type="dxa"/>
            <w:tcBorders>
              <w:top w:val="single" w:sz="4" w:space="0" w:color="auto"/>
              <w:left w:val="nil"/>
              <w:bottom w:val="nil"/>
              <w:right w:val="nil"/>
            </w:tcBorders>
            <w:shd w:val="clear" w:color="auto" w:fill="auto"/>
            <w:vAlign w:val="center"/>
            <w:hideMark/>
          </w:tcPr>
          <w:p w14:paraId="12A363CD"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c>
          <w:tcPr>
            <w:tcW w:w="900" w:type="dxa"/>
            <w:tcBorders>
              <w:top w:val="single" w:sz="4" w:space="0" w:color="auto"/>
              <w:left w:val="nil"/>
              <w:bottom w:val="nil"/>
              <w:right w:val="nil"/>
            </w:tcBorders>
            <w:shd w:val="clear" w:color="auto" w:fill="auto"/>
            <w:vAlign w:val="center"/>
            <w:hideMark/>
          </w:tcPr>
          <w:p w14:paraId="2138687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c>
          <w:tcPr>
            <w:tcW w:w="920" w:type="dxa"/>
            <w:tcBorders>
              <w:top w:val="single" w:sz="4" w:space="0" w:color="auto"/>
              <w:left w:val="nil"/>
              <w:bottom w:val="nil"/>
              <w:right w:val="nil"/>
            </w:tcBorders>
            <w:shd w:val="clear" w:color="auto" w:fill="auto"/>
            <w:vAlign w:val="center"/>
            <w:hideMark/>
          </w:tcPr>
          <w:p w14:paraId="0C0D8C62"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c>
          <w:tcPr>
            <w:tcW w:w="920" w:type="dxa"/>
            <w:tcBorders>
              <w:top w:val="single" w:sz="4" w:space="0" w:color="auto"/>
              <w:left w:val="nil"/>
              <w:bottom w:val="nil"/>
              <w:right w:val="nil"/>
            </w:tcBorders>
            <w:shd w:val="clear" w:color="auto" w:fill="auto"/>
            <w:vAlign w:val="center"/>
            <w:hideMark/>
          </w:tcPr>
          <w:p w14:paraId="7ECF4093"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c>
          <w:tcPr>
            <w:tcW w:w="920" w:type="dxa"/>
            <w:tcBorders>
              <w:top w:val="single" w:sz="4" w:space="0" w:color="auto"/>
              <w:left w:val="nil"/>
              <w:bottom w:val="nil"/>
              <w:right w:val="nil"/>
            </w:tcBorders>
            <w:shd w:val="clear" w:color="auto" w:fill="auto"/>
            <w:vAlign w:val="center"/>
            <w:hideMark/>
          </w:tcPr>
          <w:p w14:paraId="6FED3159"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w:t>
            </w:r>
          </w:p>
        </w:tc>
      </w:tr>
      <w:tr w:rsidR="000A29D8" w:rsidRPr="000A29D8" w14:paraId="6FCE1D26" w14:textId="77777777" w:rsidTr="00533864">
        <w:trPr>
          <w:trHeight w:val="645"/>
          <w:jc w:val="center"/>
        </w:trPr>
        <w:tc>
          <w:tcPr>
            <w:tcW w:w="177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68F91ADC"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III. WSKAŹNIKI EFEKTYWNOŚCI</w:t>
            </w:r>
          </w:p>
        </w:tc>
        <w:tc>
          <w:tcPr>
            <w:tcW w:w="2140" w:type="dxa"/>
            <w:tcBorders>
              <w:top w:val="single" w:sz="8" w:space="0" w:color="auto"/>
              <w:left w:val="nil"/>
              <w:bottom w:val="single" w:sz="4" w:space="0" w:color="auto"/>
              <w:right w:val="nil"/>
            </w:tcBorders>
            <w:shd w:val="clear" w:color="auto" w:fill="auto"/>
            <w:vAlign w:val="center"/>
            <w:hideMark/>
          </w:tcPr>
          <w:p w14:paraId="37886122"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xml:space="preserve">Wskaźnik rotacji należności                                     (w dniach)                           </w:t>
            </w:r>
          </w:p>
        </w:tc>
        <w:tc>
          <w:tcPr>
            <w:tcW w:w="88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6032ED2" w14:textId="48FE0384"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3</w:t>
            </w:r>
            <w:r w:rsidR="000717E7">
              <w:rPr>
                <w:rFonts w:ascii="Garamond" w:eastAsia="Times New Roman" w:hAnsi="Garamond" w:cs="Arial"/>
              </w:rPr>
              <w:t>9</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14:paraId="4327DD1F" w14:textId="2F5B3116"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3</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6B5AB5E4" w14:textId="6059EF06"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4</w:t>
            </w:r>
            <w:r w:rsidR="000717E7">
              <w:rPr>
                <w:rFonts w:ascii="Garamond" w:eastAsia="Times New Roman" w:hAnsi="Garamond" w:cs="Arial"/>
              </w:rPr>
              <w:t>0</w:t>
            </w:r>
          </w:p>
        </w:tc>
        <w:tc>
          <w:tcPr>
            <w:tcW w:w="920" w:type="dxa"/>
            <w:tcBorders>
              <w:top w:val="single" w:sz="8" w:space="0" w:color="auto"/>
              <w:left w:val="nil"/>
              <w:bottom w:val="single" w:sz="4" w:space="0" w:color="auto"/>
              <w:right w:val="nil"/>
            </w:tcBorders>
            <w:shd w:val="clear" w:color="000000" w:fill="FFFFFF"/>
            <w:vAlign w:val="center"/>
            <w:hideMark/>
          </w:tcPr>
          <w:p w14:paraId="1200DE8C" w14:textId="5817676B" w:rsidR="000A29D8" w:rsidRPr="000A29D8" w:rsidRDefault="000717E7" w:rsidP="00BD414B">
            <w:pPr>
              <w:spacing w:after="0" w:line="240" w:lineRule="auto"/>
              <w:jc w:val="both"/>
              <w:rPr>
                <w:rFonts w:ascii="Garamond" w:eastAsia="Times New Roman" w:hAnsi="Garamond" w:cs="Arial"/>
              </w:rPr>
            </w:pPr>
            <w:r>
              <w:rPr>
                <w:rFonts w:ascii="Garamond" w:eastAsia="Times New Roman" w:hAnsi="Garamond" w:cs="Arial"/>
              </w:rPr>
              <w:t>3</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66657EE" w14:textId="4BCBDCB0" w:rsidR="000A29D8" w:rsidRPr="000A29D8" w:rsidRDefault="000717E7" w:rsidP="00BD414B">
            <w:pPr>
              <w:spacing w:after="0" w:line="240" w:lineRule="auto"/>
              <w:jc w:val="both"/>
              <w:rPr>
                <w:rFonts w:ascii="Garamond" w:eastAsia="Times New Roman" w:hAnsi="Garamond" w:cs="Arial"/>
              </w:rPr>
            </w:pPr>
            <w:r>
              <w:rPr>
                <w:rFonts w:ascii="Garamond" w:eastAsia="Times New Roman" w:hAnsi="Garamond" w:cs="Arial"/>
              </w:rPr>
              <w:t>43</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5F4832B4" w14:textId="75EB777A" w:rsidR="000A29D8" w:rsidRPr="000A29D8" w:rsidRDefault="000717E7" w:rsidP="00BD414B">
            <w:pPr>
              <w:spacing w:after="0" w:line="240" w:lineRule="auto"/>
              <w:jc w:val="both"/>
              <w:rPr>
                <w:rFonts w:ascii="Garamond" w:eastAsia="Times New Roman" w:hAnsi="Garamond" w:cs="Arial"/>
              </w:rPr>
            </w:pPr>
            <w:r>
              <w:rPr>
                <w:rFonts w:ascii="Garamond" w:eastAsia="Times New Roman" w:hAnsi="Garamond" w:cs="Arial"/>
              </w:rPr>
              <w:t>3</w:t>
            </w:r>
          </w:p>
        </w:tc>
      </w:tr>
      <w:tr w:rsidR="000A29D8" w:rsidRPr="000A29D8" w14:paraId="373A1C87" w14:textId="77777777" w:rsidTr="00533864">
        <w:trPr>
          <w:trHeight w:val="660"/>
          <w:jc w:val="center"/>
        </w:trPr>
        <w:tc>
          <w:tcPr>
            <w:tcW w:w="1774" w:type="dxa"/>
            <w:vMerge/>
            <w:tcBorders>
              <w:top w:val="single" w:sz="8" w:space="0" w:color="auto"/>
              <w:left w:val="single" w:sz="8" w:space="0" w:color="auto"/>
              <w:bottom w:val="single" w:sz="8" w:space="0" w:color="000000"/>
              <w:right w:val="single" w:sz="8" w:space="0" w:color="auto"/>
            </w:tcBorders>
            <w:vAlign w:val="center"/>
            <w:hideMark/>
          </w:tcPr>
          <w:p w14:paraId="51411B03" w14:textId="77777777" w:rsidR="000A29D8" w:rsidRPr="000A29D8" w:rsidRDefault="000A29D8" w:rsidP="00BD414B">
            <w:pPr>
              <w:spacing w:after="0" w:line="240" w:lineRule="auto"/>
              <w:jc w:val="both"/>
              <w:rPr>
                <w:rFonts w:ascii="Garamond" w:eastAsia="Times New Roman" w:hAnsi="Garamond" w:cs="Arial"/>
                <w:b/>
                <w:bCs/>
                <w:sz w:val="20"/>
                <w:szCs w:val="20"/>
              </w:rPr>
            </w:pPr>
          </w:p>
        </w:tc>
        <w:tc>
          <w:tcPr>
            <w:tcW w:w="2140" w:type="dxa"/>
            <w:tcBorders>
              <w:top w:val="nil"/>
              <w:left w:val="nil"/>
              <w:bottom w:val="single" w:sz="4" w:space="0" w:color="auto"/>
              <w:right w:val="nil"/>
            </w:tcBorders>
            <w:shd w:val="clear" w:color="auto" w:fill="auto"/>
            <w:vAlign w:val="center"/>
            <w:hideMark/>
          </w:tcPr>
          <w:p w14:paraId="49B6249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Wskaźnik rotacji zobowiązań                                          (w dniach)</w:t>
            </w:r>
          </w:p>
        </w:tc>
        <w:tc>
          <w:tcPr>
            <w:tcW w:w="889" w:type="dxa"/>
            <w:tcBorders>
              <w:top w:val="nil"/>
              <w:left w:val="single" w:sz="8" w:space="0" w:color="auto"/>
              <w:bottom w:val="single" w:sz="4" w:space="0" w:color="auto"/>
              <w:right w:val="single" w:sz="4" w:space="0" w:color="auto"/>
            </w:tcBorders>
            <w:shd w:val="clear" w:color="auto" w:fill="auto"/>
            <w:vAlign w:val="center"/>
            <w:hideMark/>
          </w:tcPr>
          <w:p w14:paraId="6BA7BC21" w14:textId="4D03DECB"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2</w:t>
            </w:r>
            <w:r w:rsidR="000717E7">
              <w:rPr>
                <w:rFonts w:ascii="Garamond" w:eastAsia="Times New Roman" w:hAnsi="Garamond" w:cs="Arial"/>
              </w:rPr>
              <w:t>5</w:t>
            </w:r>
          </w:p>
        </w:tc>
        <w:tc>
          <w:tcPr>
            <w:tcW w:w="900" w:type="dxa"/>
            <w:tcBorders>
              <w:top w:val="nil"/>
              <w:left w:val="nil"/>
              <w:bottom w:val="single" w:sz="4" w:space="0" w:color="auto"/>
              <w:right w:val="single" w:sz="8" w:space="0" w:color="auto"/>
            </w:tcBorders>
            <w:shd w:val="clear" w:color="000000" w:fill="FFFFFF"/>
            <w:vAlign w:val="center"/>
            <w:hideMark/>
          </w:tcPr>
          <w:p w14:paraId="1CE92C0F" w14:textId="5D28A185" w:rsidR="000A29D8" w:rsidRPr="000A29D8" w:rsidRDefault="007D237E" w:rsidP="00BD414B">
            <w:pPr>
              <w:spacing w:after="0" w:line="240" w:lineRule="auto"/>
              <w:jc w:val="both"/>
              <w:rPr>
                <w:rFonts w:ascii="Garamond" w:eastAsia="Times New Roman" w:hAnsi="Garamond" w:cs="Arial"/>
              </w:rPr>
            </w:pPr>
            <w:r>
              <w:rPr>
                <w:rFonts w:ascii="Garamond" w:eastAsia="Times New Roman" w:hAnsi="Garamond" w:cs="Arial"/>
              </w:rPr>
              <w:t>7</w:t>
            </w:r>
          </w:p>
        </w:tc>
        <w:tc>
          <w:tcPr>
            <w:tcW w:w="900" w:type="dxa"/>
            <w:tcBorders>
              <w:top w:val="nil"/>
              <w:left w:val="nil"/>
              <w:bottom w:val="single" w:sz="4" w:space="0" w:color="auto"/>
              <w:right w:val="single" w:sz="4" w:space="0" w:color="auto"/>
            </w:tcBorders>
            <w:shd w:val="clear" w:color="auto" w:fill="auto"/>
            <w:vAlign w:val="center"/>
            <w:hideMark/>
          </w:tcPr>
          <w:p w14:paraId="384C0ED8" w14:textId="5A5F12CB"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2</w:t>
            </w:r>
            <w:r w:rsidR="000717E7">
              <w:rPr>
                <w:rFonts w:ascii="Garamond" w:eastAsia="Times New Roman" w:hAnsi="Garamond" w:cs="Arial"/>
              </w:rPr>
              <w:t>4</w:t>
            </w:r>
          </w:p>
        </w:tc>
        <w:tc>
          <w:tcPr>
            <w:tcW w:w="920" w:type="dxa"/>
            <w:tcBorders>
              <w:top w:val="nil"/>
              <w:left w:val="nil"/>
              <w:bottom w:val="single" w:sz="4" w:space="0" w:color="auto"/>
              <w:right w:val="nil"/>
            </w:tcBorders>
            <w:shd w:val="clear" w:color="000000" w:fill="FFFFFF"/>
            <w:vAlign w:val="center"/>
            <w:hideMark/>
          </w:tcPr>
          <w:p w14:paraId="58E254AD"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7</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7DD75360" w14:textId="7DA8CB63" w:rsidR="000A29D8" w:rsidRPr="000A29D8" w:rsidRDefault="000717E7" w:rsidP="00BD414B">
            <w:pPr>
              <w:spacing w:after="0" w:line="240" w:lineRule="auto"/>
              <w:jc w:val="both"/>
              <w:rPr>
                <w:rFonts w:ascii="Garamond" w:eastAsia="Times New Roman" w:hAnsi="Garamond" w:cs="Arial"/>
              </w:rPr>
            </w:pPr>
            <w:r>
              <w:rPr>
                <w:rFonts w:ascii="Garamond" w:eastAsia="Times New Roman" w:hAnsi="Garamond" w:cs="Arial"/>
              </w:rPr>
              <w:t>19</w:t>
            </w:r>
          </w:p>
        </w:tc>
        <w:tc>
          <w:tcPr>
            <w:tcW w:w="920" w:type="dxa"/>
            <w:tcBorders>
              <w:top w:val="nil"/>
              <w:left w:val="nil"/>
              <w:bottom w:val="single" w:sz="4" w:space="0" w:color="auto"/>
              <w:right w:val="single" w:sz="8" w:space="0" w:color="auto"/>
            </w:tcBorders>
            <w:shd w:val="clear" w:color="000000" w:fill="FFFFFF"/>
            <w:vAlign w:val="center"/>
            <w:hideMark/>
          </w:tcPr>
          <w:p w14:paraId="48A6849B"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7</w:t>
            </w:r>
          </w:p>
        </w:tc>
      </w:tr>
      <w:tr w:rsidR="000A29D8" w:rsidRPr="000A29D8" w14:paraId="72541D55" w14:textId="77777777" w:rsidTr="00533864">
        <w:trPr>
          <w:trHeight w:val="390"/>
          <w:jc w:val="center"/>
        </w:trPr>
        <w:tc>
          <w:tcPr>
            <w:tcW w:w="3914" w:type="dxa"/>
            <w:gridSpan w:val="2"/>
            <w:tcBorders>
              <w:top w:val="single" w:sz="8" w:space="0" w:color="auto"/>
              <w:left w:val="nil"/>
              <w:bottom w:val="nil"/>
              <w:right w:val="nil"/>
            </w:tcBorders>
            <w:shd w:val="clear" w:color="000000" w:fill="FFFFFF"/>
            <w:noWrap/>
            <w:vAlign w:val="center"/>
            <w:hideMark/>
          </w:tcPr>
          <w:p w14:paraId="4B65484D"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889" w:type="dxa"/>
            <w:tcBorders>
              <w:top w:val="single" w:sz="8" w:space="0" w:color="auto"/>
              <w:left w:val="single" w:sz="8" w:space="0" w:color="auto"/>
              <w:bottom w:val="single" w:sz="8" w:space="0" w:color="auto"/>
              <w:right w:val="nil"/>
            </w:tcBorders>
            <w:shd w:val="clear" w:color="000000" w:fill="969696"/>
            <w:vAlign w:val="center"/>
            <w:hideMark/>
          </w:tcPr>
          <w:p w14:paraId="079382F9"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Razem</w:t>
            </w:r>
          </w:p>
        </w:tc>
        <w:tc>
          <w:tcPr>
            <w:tcW w:w="900" w:type="dxa"/>
            <w:tcBorders>
              <w:top w:val="single" w:sz="8" w:space="0" w:color="auto"/>
              <w:left w:val="nil"/>
              <w:bottom w:val="single" w:sz="8" w:space="0" w:color="auto"/>
              <w:right w:val="single" w:sz="8" w:space="0" w:color="auto"/>
            </w:tcBorders>
            <w:shd w:val="clear" w:color="000000" w:fill="969696"/>
            <w:vAlign w:val="center"/>
            <w:hideMark/>
          </w:tcPr>
          <w:p w14:paraId="41144B7F" w14:textId="7960662D" w:rsidR="000A29D8" w:rsidRPr="000A29D8" w:rsidRDefault="006079AE" w:rsidP="00BD414B">
            <w:pPr>
              <w:spacing w:after="0" w:line="240" w:lineRule="auto"/>
              <w:jc w:val="both"/>
              <w:rPr>
                <w:rFonts w:ascii="Garamond" w:eastAsia="Times New Roman" w:hAnsi="Garamond" w:cs="Arial"/>
                <w:b/>
                <w:bCs/>
              </w:rPr>
            </w:pPr>
            <w:r>
              <w:rPr>
                <w:rFonts w:ascii="Garamond" w:eastAsia="Times New Roman" w:hAnsi="Garamond" w:cs="Arial"/>
                <w:b/>
                <w:bCs/>
              </w:rPr>
              <w:t>10</w:t>
            </w:r>
          </w:p>
        </w:tc>
        <w:tc>
          <w:tcPr>
            <w:tcW w:w="900" w:type="dxa"/>
            <w:tcBorders>
              <w:top w:val="single" w:sz="8" w:space="0" w:color="auto"/>
              <w:left w:val="nil"/>
              <w:bottom w:val="single" w:sz="8" w:space="0" w:color="auto"/>
              <w:right w:val="nil"/>
            </w:tcBorders>
            <w:shd w:val="clear" w:color="000000" w:fill="969696"/>
            <w:vAlign w:val="center"/>
            <w:hideMark/>
          </w:tcPr>
          <w:p w14:paraId="42A11417"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nil"/>
            </w:tcBorders>
            <w:shd w:val="clear" w:color="000000" w:fill="969696"/>
            <w:vAlign w:val="center"/>
            <w:hideMark/>
          </w:tcPr>
          <w:p w14:paraId="388C7EBD" w14:textId="356E476E" w:rsidR="000A29D8" w:rsidRPr="000A29D8" w:rsidRDefault="000717E7" w:rsidP="00BD414B">
            <w:pPr>
              <w:spacing w:after="0" w:line="240" w:lineRule="auto"/>
              <w:jc w:val="both"/>
              <w:rPr>
                <w:rFonts w:ascii="Garamond" w:eastAsia="Times New Roman" w:hAnsi="Garamond" w:cs="Arial"/>
                <w:b/>
                <w:bCs/>
              </w:rPr>
            </w:pPr>
            <w:r>
              <w:rPr>
                <w:rFonts w:ascii="Garamond" w:eastAsia="Times New Roman" w:hAnsi="Garamond" w:cs="Arial"/>
                <w:b/>
                <w:bCs/>
              </w:rPr>
              <w:t>10</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00E6DDF9"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33DE4D9C" w14:textId="283AD30D" w:rsidR="000A29D8" w:rsidRPr="000A29D8" w:rsidRDefault="000717E7" w:rsidP="00BD414B">
            <w:pPr>
              <w:spacing w:after="0" w:line="240" w:lineRule="auto"/>
              <w:jc w:val="both"/>
              <w:rPr>
                <w:rFonts w:ascii="Garamond" w:eastAsia="Times New Roman" w:hAnsi="Garamond" w:cs="Arial"/>
                <w:b/>
                <w:bCs/>
              </w:rPr>
            </w:pPr>
            <w:r>
              <w:rPr>
                <w:rFonts w:ascii="Garamond" w:eastAsia="Times New Roman" w:hAnsi="Garamond" w:cs="Arial"/>
                <w:b/>
                <w:bCs/>
              </w:rPr>
              <w:t>10</w:t>
            </w:r>
          </w:p>
        </w:tc>
      </w:tr>
      <w:tr w:rsidR="000A29D8" w:rsidRPr="000A29D8" w14:paraId="0EC9775A" w14:textId="77777777" w:rsidTr="00533864">
        <w:trPr>
          <w:trHeight w:val="165"/>
          <w:jc w:val="center"/>
        </w:trPr>
        <w:tc>
          <w:tcPr>
            <w:tcW w:w="1774" w:type="dxa"/>
            <w:tcBorders>
              <w:top w:val="nil"/>
              <w:left w:val="nil"/>
              <w:bottom w:val="nil"/>
              <w:right w:val="nil"/>
            </w:tcBorders>
            <w:shd w:val="clear" w:color="auto" w:fill="auto"/>
            <w:noWrap/>
            <w:vAlign w:val="bottom"/>
            <w:hideMark/>
          </w:tcPr>
          <w:p w14:paraId="1FF62C0C" w14:textId="77777777" w:rsidR="000A29D8" w:rsidRPr="000A29D8" w:rsidRDefault="000A29D8" w:rsidP="00BD414B">
            <w:pPr>
              <w:spacing w:after="0" w:line="240" w:lineRule="auto"/>
              <w:jc w:val="both"/>
              <w:rPr>
                <w:rFonts w:ascii="Garamond" w:eastAsia="Times New Roman" w:hAnsi="Garamond" w:cs="Arial"/>
                <w:b/>
                <w:bCs/>
              </w:rPr>
            </w:pPr>
          </w:p>
        </w:tc>
        <w:tc>
          <w:tcPr>
            <w:tcW w:w="2140" w:type="dxa"/>
            <w:tcBorders>
              <w:top w:val="nil"/>
              <w:left w:val="nil"/>
              <w:bottom w:val="nil"/>
              <w:right w:val="nil"/>
            </w:tcBorders>
            <w:shd w:val="clear" w:color="auto" w:fill="auto"/>
            <w:noWrap/>
            <w:vAlign w:val="bottom"/>
            <w:hideMark/>
          </w:tcPr>
          <w:p w14:paraId="42048247"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889" w:type="dxa"/>
            <w:tcBorders>
              <w:top w:val="nil"/>
              <w:left w:val="nil"/>
              <w:bottom w:val="nil"/>
              <w:right w:val="nil"/>
            </w:tcBorders>
            <w:shd w:val="clear" w:color="auto" w:fill="auto"/>
            <w:noWrap/>
            <w:vAlign w:val="center"/>
            <w:hideMark/>
          </w:tcPr>
          <w:p w14:paraId="4206C74B"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1918587F"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5607C837"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398DC25"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A423C14"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A078D6D"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r>
      <w:tr w:rsidR="000A29D8" w:rsidRPr="000A29D8" w14:paraId="164A9437" w14:textId="77777777" w:rsidTr="00533864">
        <w:trPr>
          <w:trHeight w:val="600"/>
          <w:jc w:val="center"/>
        </w:trPr>
        <w:tc>
          <w:tcPr>
            <w:tcW w:w="1774" w:type="dxa"/>
            <w:vMerge w:val="restart"/>
            <w:tcBorders>
              <w:top w:val="single" w:sz="8" w:space="0" w:color="auto"/>
              <w:left w:val="single" w:sz="8" w:space="0" w:color="auto"/>
              <w:bottom w:val="single" w:sz="8" w:space="0" w:color="000000"/>
              <w:right w:val="single" w:sz="8" w:space="0" w:color="auto"/>
            </w:tcBorders>
            <w:shd w:val="clear" w:color="000000" w:fill="969696"/>
            <w:vAlign w:val="center"/>
            <w:hideMark/>
          </w:tcPr>
          <w:p w14:paraId="61F468C6"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IV. WSKAŹNIKI ZADŁUŻENIA</w:t>
            </w:r>
          </w:p>
        </w:tc>
        <w:tc>
          <w:tcPr>
            <w:tcW w:w="2140" w:type="dxa"/>
            <w:tcBorders>
              <w:top w:val="single" w:sz="8" w:space="0" w:color="auto"/>
              <w:left w:val="nil"/>
              <w:bottom w:val="single" w:sz="4" w:space="0" w:color="auto"/>
              <w:right w:val="nil"/>
            </w:tcBorders>
            <w:shd w:val="clear" w:color="auto" w:fill="auto"/>
            <w:vAlign w:val="center"/>
            <w:hideMark/>
          </w:tcPr>
          <w:p w14:paraId="78644CCB"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 xml:space="preserve">Wskaźnik zadłużenia aktywów (%)                          </w:t>
            </w:r>
          </w:p>
        </w:tc>
        <w:tc>
          <w:tcPr>
            <w:tcW w:w="88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E2F1EC" w14:textId="77B2CE6B"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w:t>
            </w:r>
            <w:r w:rsidR="006079AE">
              <w:rPr>
                <w:rFonts w:ascii="Garamond" w:eastAsia="Times New Roman" w:hAnsi="Garamond" w:cs="Arial"/>
              </w:rPr>
              <w:t>0</w:t>
            </w:r>
            <w:r w:rsidRPr="000A29D8">
              <w:rPr>
                <w:rFonts w:ascii="Garamond" w:eastAsia="Times New Roman" w:hAnsi="Garamond" w:cs="Arial"/>
              </w:rPr>
              <w:t>%</w:t>
            </w:r>
          </w:p>
        </w:tc>
        <w:tc>
          <w:tcPr>
            <w:tcW w:w="900" w:type="dxa"/>
            <w:tcBorders>
              <w:top w:val="single" w:sz="8" w:space="0" w:color="auto"/>
              <w:left w:val="nil"/>
              <w:bottom w:val="single" w:sz="4" w:space="0" w:color="auto"/>
              <w:right w:val="single" w:sz="8" w:space="0" w:color="auto"/>
            </w:tcBorders>
            <w:shd w:val="clear" w:color="000000" w:fill="FFFFFF"/>
            <w:vAlign w:val="center"/>
            <w:hideMark/>
          </w:tcPr>
          <w:p w14:paraId="2F67AD0C"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00" w:type="dxa"/>
            <w:tcBorders>
              <w:top w:val="single" w:sz="8" w:space="0" w:color="auto"/>
              <w:left w:val="nil"/>
              <w:bottom w:val="single" w:sz="4" w:space="0" w:color="auto"/>
              <w:right w:val="single" w:sz="4" w:space="0" w:color="auto"/>
            </w:tcBorders>
            <w:shd w:val="clear" w:color="auto" w:fill="auto"/>
            <w:vAlign w:val="center"/>
            <w:hideMark/>
          </w:tcPr>
          <w:p w14:paraId="376675AF" w14:textId="171538F4"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w:t>
            </w:r>
            <w:r w:rsidR="006079AE">
              <w:rPr>
                <w:rFonts w:ascii="Garamond" w:eastAsia="Times New Roman" w:hAnsi="Garamond" w:cs="Arial"/>
              </w:rPr>
              <w:t>0</w:t>
            </w:r>
            <w:r w:rsidRPr="000A29D8">
              <w:rPr>
                <w:rFonts w:ascii="Garamond" w:eastAsia="Times New Roman" w:hAnsi="Garamond" w:cs="Arial"/>
              </w:rPr>
              <w:t>%</w:t>
            </w:r>
          </w:p>
        </w:tc>
        <w:tc>
          <w:tcPr>
            <w:tcW w:w="920" w:type="dxa"/>
            <w:tcBorders>
              <w:top w:val="single" w:sz="8" w:space="0" w:color="auto"/>
              <w:left w:val="nil"/>
              <w:bottom w:val="single" w:sz="4" w:space="0" w:color="auto"/>
              <w:right w:val="nil"/>
            </w:tcBorders>
            <w:shd w:val="clear" w:color="000000" w:fill="FFFFFF"/>
            <w:vAlign w:val="center"/>
            <w:hideMark/>
          </w:tcPr>
          <w:p w14:paraId="70BD899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2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2558ACE" w14:textId="72B7E6C0" w:rsidR="000A29D8" w:rsidRPr="000A29D8" w:rsidRDefault="006079AE" w:rsidP="00BD414B">
            <w:pPr>
              <w:spacing w:after="0" w:line="240" w:lineRule="auto"/>
              <w:jc w:val="both"/>
              <w:rPr>
                <w:rFonts w:ascii="Garamond" w:eastAsia="Times New Roman" w:hAnsi="Garamond" w:cs="Arial"/>
              </w:rPr>
            </w:pPr>
            <w:r>
              <w:rPr>
                <w:rFonts w:ascii="Garamond" w:eastAsia="Times New Roman" w:hAnsi="Garamond" w:cs="Arial"/>
              </w:rPr>
              <w:t>6</w:t>
            </w:r>
            <w:r w:rsidR="000A29D8" w:rsidRPr="000A29D8">
              <w:rPr>
                <w:rFonts w:ascii="Garamond" w:eastAsia="Times New Roman" w:hAnsi="Garamond" w:cs="Arial"/>
              </w:rPr>
              <w:t>%</w:t>
            </w:r>
          </w:p>
        </w:tc>
        <w:tc>
          <w:tcPr>
            <w:tcW w:w="920" w:type="dxa"/>
            <w:tcBorders>
              <w:top w:val="single" w:sz="8" w:space="0" w:color="auto"/>
              <w:left w:val="nil"/>
              <w:bottom w:val="single" w:sz="4" w:space="0" w:color="auto"/>
              <w:right w:val="single" w:sz="8" w:space="0" w:color="auto"/>
            </w:tcBorders>
            <w:shd w:val="clear" w:color="000000" w:fill="FFFFFF"/>
            <w:vAlign w:val="center"/>
            <w:hideMark/>
          </w:tcPr>
          <w:p w14:paraId="16BAC5FF"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r>
      <w:tr w:rsidR="000A29D8" w:rsidRPr="000A29D8" w14:paraId="4B381CF8" w14:textId="77777777" w:rsidTr="00533864">
        <w:trPr>
          <w:trHeight w:val="660"/>
          <w:jc w:val="center"/>
        </w:trPr>
        <w:tc>
          <w:tcPr>
            <w:tcW w:w="1774" w:type="dxa"/>
            <w:vMerge/>
            <w:tcBorders>
              <w:top w:val="single" w:sz="8" w:space="0" w:color="auto"/>
              <w:left w:val="single" w:sz="8" w:space="0" w:color="auto"/>
              <w:bottom w:val="single" w:sz="8" w:space="0" w:color="000000"/>
              <w:right w:val="single" w:sz="8" w:space="0" w:color="auto"/>
            </w:tcBorders>
            <w:vAlign w:val="center"/>
            <w:hideMark/>
          </w:tcPr>
          <w:p w14:paraId="4624CDE2" w14:textId="77777777" w:rsidR="000A29D8" w:rsidRPr="000A29D8" w:rsidRDefault="000A29D8" w:rsidP="00BD414B">
            <w:pPr>
              <w:spacing w:after="0" w:line="240" w:lineRule="auto"/>
              <w:jc w:val="both"/>
              <w:rPr>
                <w:rFonts w:ascii="Garamond" w:eastAsia="Times New Roman" w:hAnsi="Garamond" w:cs="Arial"/>
                <w:b/>
                <w:bCs/>
                <w:sz w:val="20"/>
                <w:szCs w:val="20"/>
              </w:rPr>
            </w:pPr>
          </w:p>
        </w:tc>
        <w:tc>
          <w:tcPr>
            <w:tcW w:w="2140" w:type="dxa"/>
            <w:tcBorders>
              <w:top w:val="nil"/>
              <w:left w:val="nil"/>
              <w:bottom w:val="single" w:sz="4" w:space="0" w:color="auto"/>
              <w:right w:val="nil"/>
            </w:tcBorders>
            <w:shd w:val="clear" w:color="auto" w:fill="auto"/>
            <w:vAlign w:val="center"/>
            <w:hideMark/>
          </w:tcPr>
          <w:p w14:paraId="0CFB3105"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Wskaźnik wypłacalności</w:t>
            </w:r>
          </w:p>
        </w:tc>
        <w:tc>
          <w:tcPr>
            <w:tcW w:w="889" w:type="dxa"/>
            <w:tcBorders>
              <w:top w:val="nil"/>
              <w:left w:val="single" w:sz="8" w:space="0" w:color="auto"/>
              <w:bottom w:val="single" w:sz="4" w:space="0" w:color="auto"/>
              <w:right w:val="single" w:sz="4" w:space="0" w:color="auto"/>
            </w:tcBorders>
            <w:shd w:val="clear" w:color="auto" w:fill="auto"/>
            <w:vAlign w:val="center"/>
            <w:hideMark/>
          </w:tcPr>
          <w:p w14:paraId="1B943F19" w14:textId="10E6E254"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0,</w:t>
            </w:r>
            <w:r w:rsidR="006079AE">
              <w:rPr>
                <w:rFonts w:ascii="Garamond" w:eastAsia="Times New Roman" w:hAnsi="Garamond" w:cs="Arial"/>
              </w:rPr>
              <w:t>1</w:t>
            </w:r>
            <w:r w:rsidR="000717E7">
              <w:rPr>
                <w:rFonts w:ascii="Garamond" w:eastAsia="Times New Roman" w:hAnsi="Garamond" w:cs="Arial"/>
              </w:rPr>
              <w:t>2</w:t>
            </w:r>
          </w:p>
        </w:tc>
        <w:tc>
          <w:tcPr>
            <w:tcW w:w="900" w:type="dxa"/>
            <w:tcBorders>
              <w:top w:val="nil"/>
              <w:left w:val="nil"/>
              <w:bottom w:val="single" w:sz="4" w:space="0" w:color="auto"/>
              <w:right w:val="single" w:sz="8" w:space="0" w:color="auto"/>
            </w:tcBorders>
            <w:shd w:val="clear" w:color="000000" w:fill="FFFFFF"/>
            <w:vAlign w:val="center"/>
            <w:hideMark/>
          </w:tcPr>
          <w:p w14:paraId="214550FD"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00" w:type="dxa"/>
            <w:tcBorders>
              <w:top w:val="nil"/>
              <w:left w:val="nil"/>
              <w:bottom w:val="single" w:sz="4" w:space="0" w:color="auto"/>
              <w:right w:val="single" w:sz="4" w:space="0" w:color="auto"/>
            </w:tcBorders>
            <w:shd w:val="clear" w:color="auto" w:fill="auto"/>
            <w:vAlign w:val="center"/>
            <w:hideMark/>
          </w:tcPr>
          <w:p w14:paraId="7B40C882" w14:textId="0AB62BD5"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0,</w:t>
            </w:r>
            <w:r w:rsidR="006079AE">
              <w:rPr>
                <w:rFonts w:ascii="Garamond" w:eastAsia="Times New Roman" w:hAnsi="Garamond" w:cs="Arial"/>
              </w:rPr>
              <w:t>1</w:t>
            </w:r>
            <w:r w:rsidR="000717E7">
              <w:rPr>
                <w:rFonts w:ascii="Garamond" w:eastAsia="Times New Roman" w:hAnsi="Garamond" w:cs="Arial"/>
              </w:rPr>
              <w:t>2</w:t>
            </w:r>
          </w:p>
        </w:tc>
        <w:tc>
          <w:tcPr>
            <w:tcW w:w="920" w:type="dxa"/>
            <w:tcBorders>
              <w:top w:val="nil"/>
              <w:left w:val="nil"/>
              <w:bottom w:val="single" w:sz="4" w:space="0" w:color="auto"/>
              <w:right w:val="nil"/>
            </w:tcBorders>
            <w:shd w:val="clear" w:color="000000" w:fill="FFFFFF"/>
            <w:vAlign w:val="center"/>
            <w:hideMark/>
          </w:tcPr>
          <w:p w14:paraId="7F5911D1"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c>
          <w:tcPr>
            <w:tcW w:w="920" w:type="dxa"/>
            <w:tcBorders>
              <w:top w:val="nil"/>
              <w:left w:val="single" w:sz="8" w:space="0" w:color="auto"/>
              <w:bottom w:val="single" w:sz="4" w:space="0" w:color="auto"/>
              <w:right w:val="single" w:sz="4" w:space="0" w:color="auto"/>
            </w:tcBorders>
            <w:shd w:val="clear" w:color="auto" w:fill="auto"/>
            <w:vAlign w:val="center"/>
            <w:hideMark/>
          </w:tcPr>
          <w:p w14:paraId="170D8307"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0,07</w:t>
            </w:r>
          </w:p>
        </w:tc>
        <w:tc>
          <w:tcPr>
            <w:tcW w:w="920" w:type="dxa"/>
            <w:tcBorders>
              <w:top w:val="nil"/>
              <w:left w:val="nil"/>
              <w:bottom w:val="single" w:sz="4" w:space="0" w:color="auto"/>
              <w:right w:val="single" w:sz="8" w:space="0" w:color="auto"/>
            </w:tcBorders>
            <w:shd w:val="clear" w:color="000000" w:fill="FFFFFF"/>
            <w:vAlign w:val="center"/>
            <w:hideMark/>
          </w:tcPr>
          <w:p w14:paraId="7C686002" w14:textId="77777777" w:rsidR="000A29D8" w:rsidRPr="000A29D8" w:rsidRDefault="000A29D8" w:rsidP="00BD414B">
            <w:pPr>
              <w:spacing w:after="0" w:line="240" w:lineRule="auto"/>
              <w:jc w:val="both"/>
              <w:rPr>
                <w:rFonts w:ascii="Garamond" w:eastAsia="Times New Roman" w:hAnsi="Garamond" w:cs="Arial"/>
              </w:rPr>
            </w:pPr>
            <w:r w:rsidRPr="000A29D8">
              <w:rPr>
                <w:rFonts w:ascii="Garamond" w:eastAsia="Times New Roman" w:hAnsi="Garamond" w:cs="Arial"/>
              </w:rPr>
              <w:t>10</w:t>
            </w:r>
          </w:p>
        </w:tc>
      </w:tr>
      <w:tr w:rsidR="000A29D8" w:rsidRPr="000A29D8" w14:paraId="63D9FD03" w14:textId="77777777" w:rsidTr="00533864">
        <w:trPr>
          <w:trHeight w:val="540"/>
          <w:jc w:val="center"/>
        </w:trPr>
        <w:tc>
          <w:tcPr>
            <w:tcW w:w="3914" w:type="dxa"/>
            <w:gridSpan w:val="2"/>
            <w:tcBorders>
              <w:top w:val="single" w:sz="8" w:space="0" w:color="auto"/>
              <w:left w:val="nil"/>
              <w:bottom w:val="nil"/>
              <w:right w:val="nil"/>
            </w:tcBorders>
            <w:shd w:val="clear" w:color="000000" w:fill="FFFFFF"/>
            <w:noWrap/>
            <w:vAlign w:val="center"/>
            <w:hideMark/>
          </w:tcPr>
          <w:p w14:paraId="42BC33D4" w14:textId="77777777" w:rsidR="000A29D8" w:rsidRPr="000A29D8" w:rsidRDefault="000A29D8" w:rsidP="00BD414B">
            <w:pPr>
              <w:spacing w:after="0" w:line="240" w:lineRule="auto"/>
              <w:jc w:val="both"/>
              <w:rPr>
                <w:rFonts w:ascii="Garamond" w:eastAsia="Times New Roman" w:hAnsi="Garamond" w:cs="Arial"/>
                <w:b/>
                <w:bCs/>
                <w:sz w:val="20"/>
                <w:szCs w:val="20"/>
              </w:rPr>
            </w:pPr>
            <w:r w:rsidRPr="000A29D8">
              <w:rPr>
                <w:rFonts w:ascii="Garamond" w:eastAsia="Times New Roman" w:hAnsi="Garamond" w:cs="Arial"/>
                <w:b/>
                <w:bCs/>
                <w:sz w:val="20"/>
                <w:szCs w:val="20"/>
              </w:rPr>
              <w:t> </w:t>
            </w:r>
          </w:p>
        </w:tc>
        <w:tc>
          <w:tcPr>
            <w:tcW w:w="889" w:type="dxa"/>
            <w:tcBorders>
              <w:top w:val="single" w:sz="8" w:space="0" w:color="auto"/>
              <w:left w:val="single" w:sz="8" w:space="0" w:color="auto"/>
              <w:bottom w:val="single" w:sz="8" w:space="0" w:color="auto"/>
              <w:right w:val="nil"/>
            </w:tcBorders>
            <w:shd w:val="clear" w:color="000000" w:fill="969696"/>
            <w:vAlign w:val="center"/>
            <w:hideMark/>
          </w:tcPr>
          <w:p w14:paraId="491D2EC5"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Razem</w:t>
            </w:r>
          </w:p>
        </w:tc>
        <w:tc>
          <w:tcPr>
            <w:tcW w:w="900" w:type="dxa"/>
            <w:tcBorders>
              <w:top w:val="single" w:sz="8" w:space="0" w:color="auto"/>
              <w:left w:val="nil"/>
              <w:bottom w:val="single" w:sz="8" w:space="0" w:color="auto"/>
              <w:right w:val="single" w:sz="8" w:space="0" w:color="auto"/>
            </w:tcBorders>
            <w:shd w:val="clear" w:color="000000" w:fill="969696"/>
            <w:vAlign w:val="center"/>
            <w:hideMark/>
          </w:tcPr>
          <w:p w14:paraId="7F9824D6"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c>
          <w:tcPr>
            <w:tcW w:w="900" w:type="dxa"/>
            <w:tcBorders>
              <w:top w:val="single" w:sz="8" w:space="0" w:color="auto"/>
              <w:left w:val="nil"/>
              <w:bottom w:val="single" w:sz="8" w:space="0" w:color="auto"/>
              <w:right w:val="nil"/>
            </w:tcBorders>
            <w:shd w:val="clear" w:color="000000" w:fill="969696"/>
            <w:vAlign w:val="center"/>
            <w:hideMark/>
          </w:tcPr>
          <w:p w14:paraId="0ACA2DD1"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nil"/>
            </w:tcBorders>
            <w:shd w:val="clear" w:color="000000" w:fill="969696"/>
            <w:vAlign w:val="center"/>
            <w:hideMark/>
          </w:tcPr>
          <w:p w14:paraId="094C5903"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c>
          <w:tcPr>
            <w:tcW w:w="920" w:type="dxa"/>
            <w:tcBorders>
              <w:top w:val="single" w:sz="8" w:space="0" w:color="auto"/>
              <w:left w:val="single" w:sz="8" w:space="0" w:color="auto"/>
              <w:bottom w:val="single" w:sz="8" w:space="0" w:color="auto"/>
              <w:right w:val="nil"/>
            </w:tcBorders>
            <w:shd w:val="clear" w:color="000000" w:fill="969696"/>
            <w:vAlign w:val="center"/>
            <w:hideMark/>
          </w:tcPr>
          <w:p w14:paraId="50FF7067" w14:textId="77777777" w:rsidR="000A29D8" w:rsidRPr="000A29D8" w:rsidRDefault="000A29D8" w:rsidP="00BD414B">
            <w:pPr>
              <w:spacing w:after="0" w:line="240" w:lineRule="auto"/>
              <w:jc w:val="both"/>
              <w:rPr>
                <w:rFonts w:ascii="Garamond" w:eastAsia="Times New Roman" w:hAnsi="Garamond" w:cs="Arial"/>
                <w:b/>
                <w:bCs/>
                <w:color w:val="000000"/>
                <w:sz w:val="20"/>
                <w:szCs w:val="20"/>
              </w:rPr>
            </w:pPr>
            <w:r w:rsidRPr="000A29D8">
              <w:rPr>
                <w:rFonts w:ascii="Garamond" w:eastAsia="Times New Roman" w:hAnsi="Garamond" w:cs="Arial"/>
                <w:b/>
                <w:bCs/>
                <w:color w:val="000000"/>
                <w:sz w:val="20"/>
                <w:szCs w:val="20"/>
              </w:rPr>
              <w:t> </w:t>
            </w:r>
          </w:p>
        </w:tc>
        <w:tc>
          <w:tcPr>
            <w:tcW w:w="920" w:type="dxa"/>
            <w:tcBorders>
              <w:top w:val="single" w:sz="8" w:space="0" w:color="auto"/>
              <w:left w:val="nil"/>
              <w:bottom w:val="single" w:sz="8" w:space="0" w:color="auto"/>
              <w:right w:val="single" w:sz="8" w:space="0" w:color="auto"/>
            </w:tcBorders>
            <w:shd w:val="clear" w:color="000000" w:fill="969696"/>
            <w:vAlign w:val="center"/>
            <w:hideMark/>
          </w:tcPr>
          <w:p w14:paraId="7287EE9D"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20</w:t>
            </w:r>
          </w:p>
        </w:tc>
      </w:tr>
      <w:tr w:rsidR="000A29D8" w:rsidRPr="000A29D8" w14:paraId="49991451" w14:textId="77777777" w:rsidTr="00533864">
        <w:trPr>
          <w:trHeight w:val="120"/>
          <w:jc w:val="center"/>
        </w:trPr>
        <w:tc>
          <w:tcPr>
            <w:tcW w:w="1774" w:type="dxa"/>
            <w:tcBorders>
              <w:top w:val="nil"/>
              <w:left w:val="nil"/>
              <w:bottom w:val="nil"/>
              <w:right w:val="nil"/>
            </w:tcBorders>
            <w:shd w:val="clear" w:color="auto" w:fill="auto"/>
            <w:noWrap/>
            <w:vAlign w:val="bottom"/>
            <w:hideMark/>
          </w:tcPr>
          <w:p w14:paraId="3CCC3F38" w14:textId="77777777" w:rsidR="000A29D8" w:rsidRPr="000A29D8" w:rsidRDefault="000A29D8" w:rsidP="00BD414B">
            <w:pPr>
              <w:spacing w:after="0" w:line="240" w:lineRule="auto"/>
              <w:jc w:val="both"/>
              <w:rPr>
                <w:rFonts w:ascii="Garamond" w:eastAsia="Times New Roman" w:hAnsi="Garamond" w:cs="Arial"/>
                <w:b/>
                <w:bCs/>
              </w:rPr>
            </w:pPr>
          </w:p>
        </w:tc>
        <w:tc>
          <w:tcPr>
            <w:tcW w:w="2140" w:type="dxa"/>
            <w:tcBorders>
              <w:top w:val="nil"/>
              <w:left w:val="nil"/>
              <w:bottom w:val="nil"/>
              <w:right w:val="nil"/>
            </w:tcBorders>
            <w:shd w:val="clear" w:color="auto" w:fill="auto"/>
            <w:noWrap/>
            <w:vAlign w:val="bottom"/>
            <w:hideMark/>
          </w:tcPr>
          <w:p w14:paraId="02A22D1A"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889" w:type="dxa"/>
            <w:tcBorders>
              <w:top w:val="nil"/>
              <w:left w:val="nil"/>
              <w:bottom w:val="nil"/>
              <w:right w:val="nil"/>
            </w:tcBorders>
            <w:shd w:val="clear" w:color="auto" w:fill="auto"/>
            <w:noWrap/>
            <w:vAlign w:val="center"/>
            <w:hideMark/>
          </w:tcPr>
          <w:p w14:paraId="22A8E52F"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446D1265"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bottom"/>
            <w:hideMark/>
          </w:tcPr>
          <w:p w14:paraId="276780C3"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8C38B09"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10B9BC14"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070FCA5" w14:textId="77777777" w:rsidR="000A29D8" w:rsidRPr="000A29D8" w:rsidRDefault="000A29D8" w:rsidP="00BD414B">
            <w:pPr>
              <w:spacing w:after="0" w:line="240" w:lineRule="auto"/>
              <w:jc w:val="both"/>
              <w:rPr>
                <w:rFonts w:ascii="Times New Roman" w:eastAsia="Times New Roman" w:hAnsi="Times New Roman" w:cs="Times New Roman"/>
                <w:sz w:val="20"/>
                <w:szCs w:val="20"/>
              </w:rPr>
            </w:pPr>
          </w:p>
        </w:tc>
      </w:tr>
      <w:tr w:rsidR="000A29D8" w:rsidRPr="000A29D8" w14:paraId="1047447B" w14:textId="77777777" w:rsidTr="00533864">
        <w:trPr>
          <w:trHeight w:val="420"/>
          <w:jc w:val="center"/>
        </w:trPr>
        <w:tc>
          <w:tcPr>
            <w:tcW w:w="3914" w:type="dxa"/>
            <w:gridSpan w:val="2"/>
            <w:tcBorders>
              <w:top w:val="single" w:sz="8" w:space="0" w:color="auto"/>
              <w:left w:val="single" w:sz="8" w:space="0" w:color="auto"/>
              <w:bottom w:val="single" w:sz="8" w:space="0" w:color="auto"/>
              <w:right w:val="single" w:sz="8" w:space="0" w:color="000000"/>
            </w:tcBorders>
            <w:shd w:val="clear" w:color="000000" w:fill="FFCC00"/>
            <w:noWrap/>
            <w:vAlign w:val="center"/>
            <w:hideMark/>
          </w:tcPr>
          <w:p w14:paraId="10AD411E" w14:textId="77777777"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Łączna wartość punktów</w:t>
            </w:r>
          </w:p>
        </w:tc>
        <w:tc>
          <w:tcPr>
            <w:tcW w:w="1789" w:type="dxa"/>
            <w:gridSpan w:val="2"/>
            <w:tcBorders>
              <w:top w:val="single" w:sz="8" w:space="0" w:color="auto"/>
              <w:left w:val="nil"/>
              <w:bottom w:val="single" w:sz="8" w:space="0" w:color="auto"/>
              <w:right w:val="single" w:sz="8" w:space="0" w:color="000000"/>
            </w:tcBorders>
            <w:shd w:val="clear" w:color="000000" w:fill="FFCC00"/>
            <w:vAlign w:val="center"/>
            <w:hideMark/>
          </w:tcPr>
          <w:p w14:paraId="61A7DFA2" w14:textId="2C99E6D0" w:rsidR="000A29D8" w:rsidRPr="000A29D8" w:rsidRDefault="000717E7" w:rsidP="00BD414B">
            <w:pPr>
              <w:spacing w:after="0" w:line="240" w:lineRule="auto"/>
              <w:jc w:val="both"/>
              <w:rPr>
                <w:rFonts w:ascii="Garamond" w:eastAsia="Times New Roman" w:hAnsi="Garamond" w:cs="Arial"/>
                <w:b/>
                <w:bCs/>
              </w:rPr>
            </w:pPr>
            <w:r>
              <w:rPr>
                <w:rFonts w:ascii="Garamond" w:eastAsia="Times New Roman" w:hAnsi="Garamond" w:cs="Arial"/>
                <w:b/>
                <w:bCs/>
              </w:rPr>
              <w:t>56</w:t>
            </w:r>
          </w:p>
        </w:tc>
        <w:tc>
          <w:tcPr>
            <w:tcW w:w="1820" w:type="dxa"/>
            <w:gridSpan w:val="2"/>
            <w:tcBorders>
              <w:top w:val="single" w:sz="8" w:space="0" w:color="auto"/>
              <w:left w:val="nil"/>
              <w:bottom w:val="single" w:sz="8" w:space="0" w:color="auto"/>
              <w:right w:val="single" w:sz="8" w:space="0" w:color="000000"/>
            </w:tcBorders>
            <w:shd w:val="clear" w:color="000000" w:fill="FFCC00"/>
            <w:vAlign w:val="center"/>
            <w:hideMark/>
          </w:tcPr>
          <w:p w14:paraId="003B2B7D" w14:textId="40CC2478"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5</w:t>
            </w:r>
            <w:r w:rsidR="000717E7">
              <w:rPr>
                <w:rFonts w:ascii="Garamond" w:eastAsia="Times New Roman" w:hAnsi="Garamond" w:cs="Arial"/>
                <w:b/>
                <w:bCs/>
              </w:rPr>
              <w:t>6</w:t>
            </w:r>
          </w:p>
        </w:tc>
        <w:tc>
          <w:tcPr>
            <w:tcW w:w="1840" w:type="dxa"/>
            <w:gridSpan w:val="2"/>
            <w:tcBorders>
              <w:top w:val="single" w:sz="8" w:space="0" w:color="auto"/>
              <w:left w:val="nil"/>
              <w:bottom w:val="single" w:sz="8" w:space="0" w:color="auto"/>
              <w:right w:val="single" w:sz="8" w:space="0" w:color="000000"/>
            </w:tcBorders>
            <w:shd w:val="clear" w:color="000000" w:fill="FFCC00"/>
            <w:vAlign w:val="center"/>
            <w:hideMark/>
          </w:tcPr>
          <w:p w14:paraId="79000185" w14:textId="7BAE5A49" w:rsidR="000A29D8" w:rsidRPr="000A29D8" w:rsidRDefault="000A29D8" w:rsidP="00BD414B">
            <w:pPr>
              <w:spacing w:after="0" w:line="240" w:lineRule="auto"/>
              <w:jc w:val="both"/>
              <w:rPr>
                <w:rFonts w:ascii="Garamond" w:eastAsia="Times New Roman" w:hAnsi="Garamond" w:cs="Arial"/>
                <w:b/>
                <w:bCs/>
              </w:rPr>
            </w:pPr>
            <w:r w:rsidRPr="000A29D8">
              <w:rPr>
                <w:rFonts w:ascii="Garamond" w:eastAsia="Times New Roman" w:hAnsi="Garamond" w:cs="Arial"/>
                <w:b/>
                <w:bCs/>
              </w:rPr>
              <w:t>5</w:t>
            </w:r>
            <w:r w:rsidR="000717E7">
              <w:rPr>
                <w:rFonts w:ascii="Garamond" w:eastAsia="Times New Roman" w:hAnsi="Garamond" w:cs="Arial"/>
                <w:b/>
                <w:bCs/>
              </w:rPr>
              <w:t>6</w:t>
            </w:r>
          </w:p>
        </w:tc>
      </w:tr>
    </w:tbl>
    <w:p w14:paraId="6AFB4436" w14:textId="77777777" w:rsidR="0019025C" w:rsidRDefault="0019025C" w:rsidP="00BD414B">
      <w:pPr>
        <w:jc w:val="both"/>
        <w:rPr>
          <w:rFonts w:ascii="Times New Roman" w:hAnsi="Times New Roman" w:cs="Times New Roman"/>
          <w:sz w:val="24"/>
          <w:szCs w:val="24"/>
        </w:rPr>
      </w:pPr>
    </w:p>
    <w:p w14:paraId="0EB3FC3B" w14:textId="77777777" w:rsidR="006F7649" w:rsidRDefault="006F7649" w:rsidP="00BD414B">
      <w:pPr>
        <w:jc w:val="both"/>
        <w:rPr>
          <w:rFonts w:ascii="Times New Roman" w:hAnsi="Times New Roman" w:cs="Times New Roman"/>
          <w:sz w:val="24"/>
          <w:szCs w:val="24"/>
        </w:rPr>
      </w:pPr>
    </w:p>
    <w:p w14:paraId="30C56A79" w14:textId="77777777" w:rsidR="003E2694" w:rsidRPr="002879A7" w:rsidRDefault="003E2694" w:rsidP="00BD414B">
      <w:pPr>
        <w:jc w:val="both"/>
        <w:rPr>
          <w:rFonts w:ascii="Times New Roman" w:hAnsi="Times New Roman" w:cs="Times New Roman"/>
          <w:sz w:val="24"/>
          <w:szCs w:val="24"/>
        </w:rPr>
      </w:pPr>
    </w:p>
    <w:p w14:paraId="20926765" w14:textId="77777777" w:rsidR="003E2694" w:rsidRPr="002879A7" w:rsidRDefault="003E2694" w:rsidP="00BD414B">
      <w:pPr>
        <w:jc w:val="both"/>
        <w:rPr>
          <w:rFonts w:ascii="Times New Roman" w:hAnsi="Times New Roman" w:cs="Times New Roman"/>
          <w:sz w:val="24"/>
          <w:szCs w:val="24"/>
        </w:rPr>
      </w:pPr>
    </w:p>
    <w:p w14:paraId="2B955374" w14:textId="4A6114EF" w:rsidR="003E2694" w:rsidRPr="00765010" w:rsidRDefault="00E50D13" w:rsidP="00BD414B">
      <w:pPr>
        <w:jc w:val="both"/>
        <w:rPr>
          <w:rFonts w:ascii="Times New Roman" w:hAnsi="Times New Roman" w:cs="Times New Roman"/>
          <w:sz w:val="24"/>
          <w:szCs w:val="24"/>
        </w:rPr>
      </w:pPr>
      <w:r w:rsidRPr="00765010">
        <w:rPr>
          <w:rFonts w:ascii="Times New Roman" w:hAnsi="Times New Roman" w:cs="Times New Roman"/>
          <w:sz w:val="24"/>
          <w:szCs w:val="24"/>
        </w:rPr>
        <w:lastRenderedPageBreak/>
        <w:t xml:space="preserve">                    Sporządził w dniu </w:t>
      </w:r>
      <w:r w:rsidR="00406B9F" w:rsidRPr="00765010">
        <w:rPr>
          <w:rFonts w:ascii="Times New Roman" w:hAnsi="Times New Roman" w:cs="Times New Roman"/>
          <w:sz w:val="24"/>
          <w:szCs w:val="24"/>
        </w:rPr>
        <w:t>2</w:t>
      </w:r>
      <w:r w:rsidR="005A119F">
        <w:rPr>
          <w:rFonts w:ascii="Times New Roman" w:hAnsi="Times New Roman" w:cs="Times New Roman"/>
          <w:sz w:val="24"/>
          <w:szCs w:val="24"/>
        </w:rPr>
        <w:t>3.</w:t>
      </w:r>
      <w:r w:rsidR="00406B9F" w:rsidRPr="00765010">
        <w:rPr>
          <w:rFonts w:ascii="Times New Roman" w:hAnsi="Times New Roman" w:cs="Times New Roman"/>
          <w:sz w:val="24"/>
          <w:szCs w:val="24"/>
        </w:rPr>
        <w:t>05.2024</w:t>
      </w:r>
      <w:r w:rsidR="002547F5">
        <w:rPr>
          <w:rFonts w:ascii="Times New Roman" w:hAnsi="Times New Roman" w:cs="Times New Roman"/>
          <w:sz w:val="24"/>
          <w:szCs w:val="24"/>
        </w:rPr>
        <w:t xml:space="preserve"> </w:t>
      </w:r>
      <w:r w:rsidR="00406B9F" w:rsidRPr="00765010">
        <w:rPr>
          <w:rFonts w:ascii="Times New Roman" w:hAnsi="Times New Roman" w:cs="Times New Roman"/>
          <w:sz w:val="24"/>
          <w:szCs w:val="24"/>
        </w:rPr>
        <w:t>r</w:t>
      </w:r>
      <w:r w:rsidR="002547F5">
        <w:rPr>
          <w:rFonts w:ascii="Times New Roman" w:hAnsi="Times New Roman" w:cs="Times New Roman"/>
          <w:sz w:val="24"/>
          <w:szCs w:val="24"/>
        </w:rPr>
        <w:t>.</w:t>
      </w:r>
      <w:r w:rsidRPr="00765010">
        <w:rPr>
          <w:rFonts w:ascii="Times New Roman" w:hAnsi="Times New Roman" w:cs="Times New Roman"/>
          <w:sz w:val="24"/>
          <w:szCs w:val="24"/>
        </w:rPr>
        <w:t xml:space="preserve">                Zatwierdził w dniu </w:t>
      </w:r>
      <w:r w:rsidR="00406B9F" w:rsidRPr="00765010">
        <w:rPr>
          <w:rFonts w:ascii="Times New Roman" w:hAnsi="Times New Roman" w:cs="Times New Roman"/>
          <w:sz w:val="24"/>
          <w:szCs w:val="24"/>
        </w:rPr>
        <w:t>2</w:t>
      </w:r>
      <w:r w:rsidR="005A119F">
        <w:rPr>
          <w:rFonts w:ascii="Times New Roman" w:hAnsi="Times New Roman" w:cs="Times New Roman"/>
          <w:sz w:val="24"/>
          <w:szCs w:val="24"/>
        </w:rPr>
        <w:t>3</w:t>
      </w:r>
      <w:r w:rsidR="00406B9F" w:rsidRPr="00765010">
        <w:rPr>
          <w:rFonts w:ascii="Times New Roman" w:hAnsi="Times New Roman" w:cs="Times New Roman"/>
          <w:sz w:val="24"/>
          <w:szCs w:val="24"/>
        </w:rPr>
        <w:t>.05.2024</w:t>
      </w:r>
      <w:r w:rsidR="002547F5">
        <w:rPr>
          <w:rFonts w:ascii="Times New Roman" w:hAnsi="Times New Roman" w:cs="Times New Roman"/>
          <w:sz w:val="24"/>
          <w:szCs w:val="24"/>
        </w:rPr>
        <w:t xml:space="preserve"> </w:t>
      </w:r>
      <w:r w:rsidR="00406B9F" w:rsidRPr="00765010">
        <w:rPr>
          <w:rFonts w:ascii="Times New Roman" w:hAnsi="Times New Roman" w:cs="Times New Roman"/>
          <w:sz w:val="24"/>
          <w:szCs w:val="24"/>
        </w:rPr>
        <w:t>r</w:t>
      </w:r>
      <w:r w:rsidR="002547F5">
        <w:rPr>
          <w:rFonts w:ascii="Times New Roman" w:hAnsi="Times New Roman" w:cs="Times New Roman"/>
          <w:sz w:val="24"/>
          <w:szCs w:val="24"/>
        </w:rPr>
        <w:t>.</w:t>
      </w:r>
    </w:p>
    <w:p w14:paraId="64389912" w14:textId="11ED0E38" w:rsidR="005C5DAC" w:rsidRPr="00765010" w:rsidRDefault="005C5DAC" w:rsidP="00BD414B">
      <w:pPr>
        <w:jc w:val="both"/>
        <w:rPr>
          <w:rFonts w:ascii="Times New Roman" w:hAnsi="Times New Roman" w:cs="Times New Roman"/>
          <w:sz w:val="24"/>
          <w:szCs w:val="24"/>
        </w:rPr>
      </w:pPr>
      <w:r w:rsidRPr="00765010">
        <w:rPr>
          <w:rFonts w:ascii="Times New Roman" w:hAnsi="Times New Roman" w:cs="Times New Roman"/>
          <w:sz w:val="24"/>
          <w:szCs w:val="24"/>
        </w:rPr>
        <w:t xml:space="preserve">                           Beata Oruba                                          Aleksandra Mura </w:t>
      </w:r>
    </w:p>
    <w:p w14:paraId="1AAF40BD" w14:textId="77777777" w:rsidR="003E2694" w:rsidRPr="00765010" w:rsidRDefault="003E2694" w:rsidP="00BD414B">
      <w:pPr>
        <w:jc w:val="both"/>
        <w:rPr>
          <w:rFonts w:ascii="Times New Roman" w:hAnsi="Times New Roman" w:cs="Times New Roman"/>
          <w:sz w:val="24"/>
          <w:szCs w:val="24"/>
        </w:rPr>
      </w:pPr>
    </w:p>
    <w:p w14:paraId="505363F5" w14:textId="77777777" w:rsidR="003E2694" w:rsidRPr="002879A7" w:rsidRDefault="003E2694" w:rsidP="00BD414B">
      <w:pPr>
        <w:jc w:val="both"/>
        <w:rPr>
          <w:rFonts w:ascii="Times New Roman" w:hAnsi="Times New Roman" w:cs="Times New Roman"/>
          <w:sz w:val="24"/>
          <w:szCs w:val="24"/>
        </w:rPr>
      </w:pPr>
    </w:p>
    <w:p w14:paraId="2A2E8AEB" w14:textId="77777777" w:rsidR="003E2694" w:rsidRPr="002879A7" w:rsidRDefault="003E2694" w:rsidP="00BD414B">
      <w:pPr>
        <w:jc w:val="both"/>
        <w:rPr>
          <w:rFonts w:ascii="Times New Roman" w:hAnsi="Times New Roman" w:cs="Times New Roman"/>
          <w:sz w:val="24"/>
          <w:szCs w:val="24"/>
        </w:rPr>
      </w:pPr>
    </w:p>
    <w:p w14:paraId="0A16A2FD" w14:textId="77777777" w:rsidR="003E2694" w:rsidRPr="002879A7" w:rsidRDefault="003E2694" w:rsidP="00BD414B">
      <w:pPr>
        <w:jc w:val="both"/>
        <w:rPr>
          <w:rFonts w:ascii="Times New Roman" w:hAnsi="Times New Roman" w:cs="Times New Roman"/>
          <w:sz w:val="24"/>
          <w:szCs w:val="24"/>
        </w:rPr>
        <w:sectPr w:rsidR="003E2694" w:rsidRPr="002879A7" w:rsidSect="00533864">
          <w:type w:val="continuous"/>
          <w:pgSz w:w="11906" w:h="16838"/>
          <w:pgMar w:top="720" w:right="720" w:bottom="720" w:left="567" w:header="708" w:footer="708" w:gutter="0"/>
          <w:cols w:space="708"/>
          <w:docGrid w:linePitch="360"/>
        </w:sectPr>
      </w:pPr>
    </w:p>
    <w:p w14:paraId="01B51520" w14:textId="12E9F88B" w:rsidR="005C7134" w:rsidRPr="002879A7" w:rsidRDefault="005C7134" w:rsidP="00042E6B">
      <w:pPr>
        <w:spacing w:after="0" w:line="360" w:lineRule="auto"/>
        <w:ind w:left="426" w:hanging="426"/>
        <w:jc w:val="both"/>
        <w:rPr>
          <w:rFonts w:ascii="Times New Roman" w:hAnsi="Times New Roman" w:cs="Times New Roman"/>
          <w:b/>
          <w:color w:val="000000" w:themeColor="text1"/>
          <w:kern w:val="24"/>
          <w:sz w:val="24"/>
          <w:szCs w:val="24"/>
          <w:u w:val="single"/>
        </w:rPr>
      </w:pPr>
    </w:p>
    <w:p w14:paraId="13941E50" w14:textId="77777777" w:rsidR="00C31EA3" w:rsidRPr="002879A7" w:rsidRDefault="00C31EA3">
      <w:pPr>
        <w:spacing w:after="0" w:line="360" w:lineRule="auto"/>
        <w:ind w:left="426" w:hanging="426"/>
        <w:jc w:val="both"/>
        <w:rPr>
          <w:rFonts w:ascii="Times New Roman" w:hAnsi="Times New Roman" w:cs="Times New Roman"/>
          <w:b/>
          <w:color w:val="000000" w:themeColor="text1"/>
          <w:kern w:val="24"/>
          <w:sz w:val="24"/>
          <w:szCs w:val="24"/>
          <w:u w:val="single"/>
        </w:rPr>
      </w:pPr>
    </w:p>
    <w:sectPr w:rsidR="00C31EA3" w:rsidRPr="002879A7" w:rsidSect="003E2694">
      <w:pgSz w:w="11906" w:h="16838"/>
      <w:pgMar w:top="142" w:right="1417"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13412" w14:textId="77777777" w:rsidR="00AB3497" w:rsidRDefault="00AB3497" w:rsidP="004B20DD">
      <w:pPr>
        <w:spacing w:after="0" w:line="240" w:lineRule="auto"/>
      </w:pPr>
      <w:r>
        <w:separator/>
      </w:r>
    </w:p>
  </w:endnote>
  <w:endnote w:type="continuationSeparator" w:id="0">
    <w:p w14:paraId="36683334" w14:textId="77777777" w:rsidR="00AB3497" w:rsidRDefault="00AB3497" w:rsidP="004B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25643" w14:textId="77777777" w:rsidR="00FF72EC" w:rsidRDefault="00FF72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rPr>
      <w:id w:val="20881985"/>
      <w:docPartObj>
        <w:docPartGallery w:val="Page Numbers (Bottom of Page)"/>
        <w:docPartUnique/>
      </w:docPartObj>
    </w:sdtPr>
    <w:sdtEndPr>
      <w:rPr>
        <w:rFonts w:asciiTheme="minorHAnsi" w:hAnsiTheme="minorHAnsi"/>
        <w:sz w:val="22"/>
        <w:szCs w:val="22"/>
      </w:rPr>
    </w:sdtEndPr>
    <w:sdtContent>
      <w:p w14:paraId="0BB4F254" w14:textId="77777777" w:rsidR="00FF72EC" w:rsidRDefault="00FF72EC">
        <w:pPr>
          <w:pStyle w:val="Stopka"/>
          <w:jc w:val="right"/>
          <w:rPr>
            <w:rFonts w:asciiTheme="majorHAnsi" w:hAnsiTheme="majorHAnsi"/>
            <w:sz w:val="28"/>
            <w:szCs w:val="28"/>
          </w:rPr>
        </w:pPr>
        <w:r>
          <w:rPr>
            <w:rFonts w:asciiTheme="majorHAnsi" w:hAnsiTheme="majorHAnsi"/>
            <w:sz w:val="28"/>
            <w:szCs w:val="28"/>
          </w:rPr>
          <w:t xml:space="preserve">str. </w:t>
        </w:r>
        <w:r>
          <w:fldChar w:fldCharType="begin"/>
        </w:r>
        <w:r>
          <w:instrText xml:space="preserve"> PAGE    \* MERGEFORMAT </w:instrText>
        </w:r>
        <w:r>
          <w:fldChar w:fldCharType="separate"/>
        </w:r>
        <w:r w:rsidRPr="005E7701">
          <w:rPr>
            <w:rFonts w:asciiTheme="majorHAnsi" w:hAnsiTheme="majorHAnsi"/>
            <w:noProof/>
            <w:sz w:val="28"/>
            <w:szCs w:val="28"/>
          </w:rPr>
          <w:t>1</w:t>
        </w:r>
        <w:r>
          <w:rPr>
            <w:rFonts w:asciiTheme="majorHAnsi" w:hAnsiTheme="majorHAnsi"/>
            <w:noProof/>
            <w:sz w:val="28"/>
            <w:szCs w:val="28"/>
          </w:rPr>
          <w:fldChar w:fldCharType="end"/>
        </w:r>
      </w:p>
    </w:sdtContent>
  </w:sdt>
  <w:p w14:paraId="37C124B5" w14:textId="77777777" w:rsidR="00FF72EC" w:rsidRDefault="00FF72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53CA" w14:textId="77777777" w:rsidR="00FF72EC" w:rsidRDefault="00FF72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89E0" w14:textId="77777777" w:rsidR="00AB3497" w:rsidRDefault="00AB3497" w:rsidP="004B20DD">
      <w:pPr>
        <w:spacing w:after="0" w:line="240" w:lineRule="auto"/>
      </w:pPr>
      <w:r>
        <w:separator/>
      </w:r>
    </w:p>
  </w:footnote>
  <w:footnote w:type="continuationSeparator" w:id="0">
    <w:p w14:paraId="2A05E00B" w14:textId="77777777" w:rsidR="00AB3497" w:rsidRDefault="00AB3497" w:rsidP="004B2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A1C85" w14:textId="77777777" w:rsidR="00FF72EC" w:rsidRDefault="00FF72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D074" w14:textId="77777777" w:rsidR="00FF72EC" w:rsidRDefault="00FF72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E839C" w14:textId="77777777" w:rsidR="00FF72EC" w:rsidRDefault="00FF72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8AC"/>
    <w:multiLevelType w:val="hybridMultilevel"/>
    <w:tmpl w:val="532AE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D6CD0"/>
    <w:multiLevelType w:val="hybridMultilevel"/>
    <w:tmpl w:val="8342215C"/>
    <w:lvl w:ilvl="0" w:tplc="099AA720">
      <w:start w:val="1"/>
      <w:numFmt w:val="bullet"/>
      <w:lvlText w:val="•"/>
      <w:lvlJc w:val="left"/>
      <w:pPr>
        <w:tabs>
          <w:tab w:val="num" w:pos="720"/>
        </w:tabs>
        <w:ind w:left="720" w:hanging="360"/>
      </w:pPr>
      <w:rPr>
        <w:rFonts w:ascii="Arial" w:hAnsi="Arial" w:hint="default"/>
      </w:rPr>
    </w:lvl>
    <w:lvl w:ilvl="1" w:tplc="16981EE6" w:tentative="1">
      <w:start w:val="1"/>
      <w:numFmt w:val="bullet"/>
      <w:lvlText w:val="•"/>
      <w:lvlJc w:val="left"/>
      <w:pPr>
        <w:tabs>
          <w:tab w:val="num" w:pos="1440"/>
        </w:tabs>
        <w:ind w:left="1440" w:hanging="360"/>
      </w:pPr>
      <w:rPr>
        <w:rFonts w:ascii="Arial" w:hAnsi="Arial" w:hint="default"/>
      </w:rPr>
    </w:lvl>
    <w:lvl w:ilvl="2" w:tplc="A4E804B0" w:tentative="1">
      <w:start w:val="1"/>
      <w:numFmt w:val="bullet"/>
      <w:lvlText w:val="•"/>
      <w:lvlJc w:val="left"/>
      <w:pPr>
        <w:tabs>
          <w:tab w:val="num" w:pos="2160"/>
        </w:tabs>
        <w:ind w:left="2160" w:hanging="360"/>
      </w:pPr>
      <w:rPr>
        <w:rFonts w:ascii="Arial" w:hAnsi="Arial" w:hint="default"/>
      </w:rPr>
    </w:lvl>
    <w:lvl w:ilvl="3" w:tplc="10169D40" w:tentative="1">
      <w:start w:val="1"/>
      <w:numFmt w:val="bullet"/>
      <w:lvlText w:val="•"/>
      <w:lvlJc w:val="left"/>
      <w:pPr>
        <w:tabs>
          <w:tab w:val="num" w:pos="2880"/>
        </w:tabs>
        <w:ind w:left="2880" w:hanging="360"/>
      </w:pPr>
      <w:rPr>
        <w:rFonts w:ascii="Arial" w:hAnsi="Arial" w:hint="default"/>
      </w:rPr>
    </w:lvl>
    <w:lvl w:ilvl="4" w:tplc="199E014A" w:tentative="1">
      <w:start w:val="1"/>
      <w:numFmt w:val="bullet"/>
      <w:lvlText w:val="•"/>
      <w:lvlJc w:val="left"/>
      <w:pPr>
        <w:tabs>
          <w:tab w:val="num" w:pos="3600"/>
        </w:tabs>
        <w:ind w:left="3600" w:hanging="360"/>
      </w:pPr>
      <w:rPr>
        <w:rFonts w:ascii="Arial" w:hAnsi="Arial" w:hint="default"/>
      </w:rPr>
    </w:lvl>
    <w:lvl w:ilvl="5" w:tplc="CF42B8D4" w:tentative="1">
      <w:start w:val="1"/>
      <w:numFmt w:val="bullet"/>
      <w:lvlText w:val="•"/>
      <w:lvlJc w:val="left"/>
      <w:pPr>
        <w:tabs>
          <w:tab w:val="num" w:pos="4320"/>
        </w:tabs>
        <w:ind w:left="4320" w:hanging="360"/>
      </w:pPr>
      <w:rPr>
        <w:rFonts w:ascii="Arial" w:hAnsi="Arial" w:hint="default"/>
      </w:rPr>
    </w:lvl>
    <w:lvl w:ilvl="6" w:tplc="1D2C659C" w:tentative="1">
      <w:start w:val="1"/>
      <w:numFmt w:val="bullet"/>
      <w:lvlText w:val="•"/>
      <w:lvlJc w:val="left"/>
      <w:pPr>
        <w:tabs>
          <w:tab w:val="num" w:pos="5040"/>
        </w:tabs>
        <w:ind w:left="5040" w:hanging="360"/>
      </w:pPr>
      <w:rPr>
        <w:rFonts w:ascii="Arial" w:hAnsi="Arial" w:hint="default"/>
      </w:rPr>
    </w:lvl>
    <w:lvl w:ilvl="7" w:tplc="7D966860" w:tentative="1">
      <w:start w:val="1"/>
      <w:numFmt w:val="bullet"/>
      <w:lvlText w:val="•"/>
      <w:lvlJc w:val="left"/>
      <w:pPr>
        <w:tabs>
          <w:tab w:val="num" w:pos="5760"/>
        </w:tabs>
        <w:ind w:left="5760" w:hanging="360"/>
      </w:pPr>
      <w:rPr>
        <w:rFonts w:ascii="Arial" w:hAnsi="Arial" w:hint="default"/>
      </w:rPr>
    </w:lvl>
    <w:lvl w:ilvl="8" w:tplc="B248EB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D2111"/>
    <w:multiLevelType w:val="hybridMultilevel"/>
    <w:tmpl w:val="854C50C0"/>
    <w:lvl w:ilvl="0" w:tplc="6360B020">
      <w:start w:val="1"/>
      <w:numFmt w:val="bullet"/>
      <w:lvlText w:val="•"/>
      <w:lvlJc w:val="left"/>
      <w:pPr>
        <w:tabs>
          <w:tab w:val="num" w:pos="720"/>
        </w:tabs>
        <w:ind w:left="720" w:hanging="360"/>
      </w:pPr>
      <w:rPr>
        <w:rFonts w:ascii="Arial" w:hAnsi="Arial" w:hint="default"/>
      </w:rPr>
    </w:lvl>
    <w:lvl w:ilvl="1" w:tplc="4CF25676" w:tentative="1">
      <w:start w:val="1"/>
      <w:numFmt w:val="bullet"/>
      <w:lvlText w:val="•"/>
      <w:lvlJc w:val="left"/>
      <w:pPr>
        <w:tabs>
          <w:tab w:val="num" w:pos="1440"/>
        </w:tabs>
        <w:ind w:left="1440" w:hanging="360"/>
      </w:pPr>
      <w:rPr>
        <w:rFonts w:ascii="Arial" w:hAnsi="Arial" w:hint="default"/>
      </w:rPr>
    </w:lvl>
    <w:lvl w:ilvl="2" w:tplc="61A0B77A" w:tentative="1">
      <w:start w:val="1"/>
      <w:numFmt w:val="bullet"/>
      <w:lvlText w:val="•"/>
      <w:lvlJc w:val="left"/>
      <w:pPr>
        <w:tabs>
          <w:tab w:val="num" w:pos="2160"/>
        </w:tabs>
        <w:ind w:left="2160" w:hanging="360"/>
      </w:pPr>
      <w:rPr>
        <w:rFonts w:ascii="Arial" w:hAnsi="Arial" w:hint="default"/>
      </w:rPr>
    </w:lvl>
    <w:lvl w:ilvl="3" w:tplc="7304F7D2" w:tentative="1">
      <w:start w:val="1"/>
      <w:numFmt w:val="bullet"/>
      <w:lvlText w:val="•"/>
      <w:lvlJc w:val="left"/>
      <w:pPr>
        <w:tabs>
          <w:tab w:val="num" w:pos="2880"/>
        </w:tabs>
        <w:ind w:left="2880" w:hanging="360"/>
      </w:pPr>
      <w:rPr>
        <w:rFonts w:ascii="Arial" w:hAnsi="Arial" w:hint="default"/>
      </w:rPr>
    </w:lvl>
    <w:lvl w:ilvl="4" w:tplc="FBCEC49E" w:tentative="1">
      <w:start w:val="1"/>
      <w:numFmt w:val="bullet"/>
      <w:lvlText w:val="•"/>
      <w:lvlJc w:val="left"/>
      <w:pPr>
        <w:tabs>
          <w:tab w:val="num" w:pos="3600"/>
        </w:tabs>
        <w:ind w:left="3600" w:hanging="360"/>
      </w:pPr>
      <w:rPr>
        <w:rFonts w:ascii="Arial" w:hAnsi="Arial" w:hint="default"/>
      </w:rPr>
    </w:lvl>
    <w:lvl w:ilvl="5" w:tplc="87ECD5B4" w:tentative="1">
      <w:start w:val="1"/>
      <w:numFmt w:val="bullet"/>
      <w:lvlText w:val="•"/>
      <w:lvlJc w:val="left"/>
      <w:pPr>
        <w:tabs>
          <w:tab w:val="num" w:pos="4320"/>
        </w:tabs>
        <w:ind w:left="4320" w:hanging="360"/>
      </w:pPr>
      <w:rPr>
        <w:rFonts w:ascii="Arial" w:hAnsi="Arial" w:hint="default"/>
      </w:rPr>
    </w:lvl>
    <w:lvl w:ilvl="6" w:tplc="F4AC05C8" w:tentative="1">
      <w:start w:val="1"/>
      <w:numFmt w:val="bullet"/>
      <w:lvlText w:val="•"/>
      <w:lvlJc w:val="left"/>
      <w:pPr>
        <w:tabs>
          <w:tab w:val="num" w:pos="5040"/>
        </w:tabs>
        <w:ind w:left="5040" w:hanging="360"/>
      </w:pPr>
      <w:rPr>
        <w:rFonts w:ascii="Arial" w:hAnsi="Arial" w:hint="default"/>
      </w:rPr>
    </w:lvl>
    <w:lvl w:ilvl="7" w:tplc="31865ED6" w:tentative="1">
      <w:start w:val="1"/>
      <w:numFmt w:val="bullet"/>
      <w:lvlText w:val="•"/>
      <w:lvlJc w:val="left"/>
      <w:pPr>
        <w:tabs>
          <w:tab w:val="num" w:pos="5760"/>
        </w:tabs>
        <w:ind w:left="5760" w:hanging="360"/>
      </w:pPr>
      <w:rPr>
        <w:rFonts w:ascii="Arial" w:hAnsi="Arial" w:hint="default"/>
      </w:rPr>
    </w:lvl>
    <w:lvl w:ilvl="8" w:tplc="C7EC35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576316"/>
    <w:multiLevelType w:val="hybridMultilevel"/>
    <w:tmpl w:val="8BD25926"/>
    <w:lvl w:ilvl="0" w:tplc="ABF423F4">
      <w:start w:val="3"/>
      <w:numFmt w:val="upperRoman"/>
      <w:lvlText w:val="%1."/>
      <w:lvlJc w:val="left"/>
      <w:pPr>
        <w:ind w:left="1080" w:hanging="1080"/>
      </w:pPr>
      <w:rPr>
        <w:rFonts w:eastAsiaTheme="minorEastAsia" w:hAnsi="Calibri"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D92308"/>
    <w:multiLevelType w:val="hybridMultilevel"/>
    <w:tmpl w:val="84A096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8B7F9B"/>
    <w:multiLevelType w:val="hybridMultilevel"/>
    <w:tmpl w:val="5570426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D25C83"/>
    <w:multiLevelType w:val="hybridMultilevel"/>
    <w:tmpl w:val="D286F324"/>
    <w:lvl w:ilvl="0" w:tplc="2CF2CB20">
      <w:start w:val="1"/>
      <w:numFmt w:val="bullet"/>
      <w:lvlText w:val="•"/>
      <w:lvlJc w:val="left"/>
      <w:pPr>
        <w:tabs>
          <w:tab w:val="num" w:pos="720"/>
        </w:tabs>
        <w:ind w:left="720" w:hanging="360"/>
      </w:pPr>
      <w:rPr>
        <w:rFonts w:ascii="Arial" w:hAnsi="Arial" w:hint="default"/>
      </w:rPr>
    </w:lvl>
    <w:lvl w:ilvl="1" w:tplc="244E3DEE" w:tentative="1">
      <w:start w:val="1"/>
      <w:numFmt w:val="bullet"/>
      <w:lvlText w:val="•"/>
      <w:lvlJc w:val="left"/>
      <w:pPr>
        <w:tabs>
          <w:tab w:val="num" w:pos="1440"/>
        </w:tabs>
        <w:ind w:left="1440" w:hanging="360"/>
      </w:pPr>
      <w:rPr>
        <w:rFonts w:ascii="Arial" w:hAnsi="Arial" w:hint="default"/>
      </w:rPr>
    </w:lvl>
    <w:lvl w:ilvl="2" w:tplc="3DFA1414" w:tentative="1">
      <w:start w:val="1"/>
      <w:numFmt w:val="bullet"/>
      <w:lvlText w:val="•"/>
      <w:lvlJc w:val="left"/>
      <w:pPr>
        <w:tabs>
          <w:tab w:val="num" w:pos="2160"/>
        </w:tabs>
        <w:ind w:left="2160" w:hanging="360"/>
      </w:pPr>
      <w:rPr>
        <w:rFonts w:ascii="Arial" w:hAnsi="Arial" w:hint="default"/>
      </w:rPr>
    </w:lvl>
    <w:lvl w:ilvl="3" w:tplc="970E713E" w:tentative="1">
      <w:start w:val="1"/>
      <w:numFmt w:val="bullet"/>
      <w:lvlText w:val="•"/>
      <w:lvlJc w:val="left"/>
      <w:pPr>
        <w:tabs>
          <w:tab w:val="num" w:pos="2880"/>
        </w:tabs>
        <w:ind w:left="2880" w:hanging="360"/>
      </w:pPr>
      <w:rPr>
        <w:rFonts w:ascii="Arial" w:hAnsi="Arial" w:hint="default"/>
      </w:rPr>
    </w:lvl>
    <w:lvl w:ilvl="4" w:tplc="CF62620E" w:tentative="1">
      <w:start w:val="1"/>
      <w:numFmt w:val="bullet"/>
      <w:lvlText w:val="•"/>
      <w:lvlJc w:val="left"/>
      <w:pPr>
        <w:tabs>
          <w:tab w:val="num" w:pos="3600"/>
        </w:tabs>
        <w:ind w:left="3600" w:hanging="360"/>
      </w:pPr>
      <w:rPr>
        <w:rFonts w:ascii="Arial" w:hAnsi="Arial" w:hint="default"/>
      </w:rPr>
    </w:lvl>
    <w:lvl w:ilvl="5" w:tplc="19EA8DB8" w:tentative="1">
      <w:start w:val="1"/>
      <w:numFmt w:val="bullet"/>
      <w:lvlText w:val="•"/>
      <w:lvlJc w:val="left"/>
      <w:pPr>
        <w:tabs>
          <w:tab w:val="num" w:pos="4320"/>
        </w:tabs>
        <w:ind w:left="4320" w:hanging="360"/>
      </w:pPr>
      <w:rPr>
        <w:rFonts w:ascii="Arial" w:hAnsi="Arial" w:hint="default"/>
      </w:rPr>
    </w:lvl>
    <w:lvl w:ilvl="6" w:tplc="2F229CFC" w:tentative="1">
      <w:start w:val="1"/>
      <w:numFmt w:val="bullet"/>
      <w:lvlText w:val="•"/>
      <w:lvlJc w:val="left"/>
      <w:pPr>
        <w:tabs>
          <w:tab w:val="num" w:pos="5040"/>
        </w:tabs>
        <w:ind w:left="5040" w:hanging="360"/>
      </w:pPr>
      <w:rPr>
        <w:rFonts w:ascii="Arial" w:hAnsi="Arial" w:hint="default"/>
      </w:rPr>
    </w:lvl>
    <w:lvl w:ilvl="7" w:tplc="F1B8E15A" w:tentative="1">
      <w:start w:val="1"/>
      <w:numFmt w:val="bullet"/>
      <w:lvlText w:val="•"/>
      <w:lvlJc w:val="left"/>
      <w:pPr>
        <w:tabs>
          <w:tab w:val="num" w:pos="5760"/>
        </w:tabs>
        <w:ind w:left="5760" w:hanging="360"/>
      </w:pPr>
      <w:rPr>
        <w:rFonts w:ascii="Arial" w:hAnsi="Arial" w:hint="default"/>
      </w:rPr>
    </w:lvl>
    <w:lvl w:ilvl="8" w:tplc="C310B2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B179D5"/>
    <w:multiLevelType w:val="hybridMultilevel"/>
    <w:tmpl w:val="7466F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F38E8"/>
    <w:multiLevelType w:val="hybridMultilevel"/>
    <w:tmpl w:val="AE048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7C5641"/>
    <w:multiLevelType w:val="hybridMultilevel"/>
    <w:tmpl w:val="78F854CE"/>
    <w:lvl w:ilvl="0" w:tplc="CE16BF2C">
      <w:start w:val="1"/>
      <w:numFmt w:val="bullet"/>
      <w:lvlText w:val="•"/>
      <w:lvlJc w:val="left"/>
      <w:pPr>
        <w:tabs>
          <w:tab w:val="num" w:pos="720"/>
        </w:tabs>
        <w:ind w:left="720" w:hanging="360"/>
      </w:pPr>
      <w:rPr>
        <w:rFonts w:ascii="Arial" w:hAnsi="Arial" w:hint="default"/>
      </w:rPr>
    </w:lvl>
    <w:lvl w:ilvl="1" w:tplc="987C59CE" w:tentative="1">
      <w:start w:val="1"/>
      <w:numFmt w:val="bullet"/>
      <w:lvlText w:val="•"/>
      <w:lvlJc w:val="left"/>
      <w:pPr>
        <w:tabs>
          <w:tab w:val="num" w:pos="1440"/>
        </w:tabs>
        <w:ind w:left="1440" w:hanging="360"/>
      </w:pPr>
      <w:rPr>
        <w:rFonts w:ascii="Arial" w:hAnsi="Arial" w:hint="default"/>
      </w:rPr>
    </w:lvl>
    <w:lvl w:ilvl="2" w:tplc="AC54827A" w:tentative="1">
      <w:start w:val="1"/>
      <w:numFmt w:val="bullet"/>
      <w:lvlText w:val="•"/>
      <w:lvlJc w:val="left"/>
      <w:pPr>
        <w:tabs>
          <w:tab w:val="num" w:pos="2160"/>
        </w:tabs>
        <w:ind w:left="2160" w:hanging="360"/>
      </w:pPr>
      <w:rPr>
        <w:rFonts w:ascii="Arial" w:hAnsi="Arial" w:hint="default"/>
      </w:rPr>
    </w:lvl>
    <w:lvl w:ilvl="3" w:tplc="1C624C9C" w:tentative="1">
      <w:start w:val="1"/>
      <w:numFmt w:val="bullet"/>
      <w:lvlText w:val="•"/>
      <w:lvlJc w:val="left"/>
      <w:pPr>
        <w:tabs>
          <w:tab w:val="num" w:pos="2880"/>
        </w:tabs>
        <w:ind w:left="2880" w:hanging="360"/>
      </w:pPr>
      <w:rPr>
        <w:rFonts w:ascii="Arial" w:hAnsi="Arial" w:hint="default"/>
      </w:rPr>
    </w:lvl>
    <w:lvl w:ilvl="4" w:tplc="5394C408" w:tentative="1">
      <w:start w:val="1"/>
      <w:numFmt w:val="bullet"/>
      <w:lvlText w:val="•"/>
      <w:lvlJc w:val="left"/>
      <w:pPr>
        <w:tabs>
          <w:tab w:val="num" w:pos="3600"/>
        </w:tabs>
        <w:ind w:left="3600" w:hanging="360"/>
      </w:pPr>
      <w:rPr>
        <w:rFonts w:ascii="Arial" w:hAnsi="Arial" w:hint="default"/>
      </w:rPr>
    </w:lvl>
    <w:lvl w:ilvl="5" w:tplc="DFF0ACE8" w:tentative="1">
      <w:start w:val="1"/>
      <w:numFmt w:val="bullet"/>
      <w:lvlText w:val="•"/>
      <w:lvlJc w:val="left"/>
      <w:pPr>
        <w:tabs>
          <w:tab w:val="num" w:pos="4320"/>
        </w:tabs>
        <w:ind w:left="4320" w:hanging="360"/>
      </w:pPr>
      <w:rPr>
        <w:rFonts w:ascii="Arial" w:hAnsi="Arial" w:hint="default"/>
      </w:rPr>
    </w:lvl>
    <w:lvl w:ilvl="6" w:tplc="BFD8430E" w:tentative="1">
      <w:start w:val="1"/>
      <w:numFmt w:val="bullet"/>
      <w:lvlText w:val="•"/>
      <w:lvlJc w:val="left"/>
      <w:pPr>
        <w:tabs>
          <w:tab w:val="num" w:pos="5040"/>
        </w:tabs>
        <w:ind w:left="5040" w:hanging="360"/>
      </w:pPr>
      <w:rPr>
        <w:rFonts w:ascii="Arial" w:hAnsi="Arial" w:hint="default"/>
      </w:rPr>
    </w:lvl>
    <w:lvl w:ilvl="7" w:tplc="E9C01F86" w:tentative="1">
      <w:start w:val="1"/>
      <w:numFmt w:val="bullet"/>
      <w:lvlText w:val="•"/>
      <w:lvlJc w:val="left"/>
      <w:pPr>
        <w:tabs>
          <w:tab w:val="num" w:pos="5760"/>
        </w:tabs>
        <w:ind w:left="5760" w:hanging="360"/>
      </w:pPr>
      <w:rPr>
        <w:rFonts w:ascii="Arial" w:hAnsi="Arial" w:hint="default"/>
      </w:rPr>
    </w:lvl>
    <w:lvl w:ilvl="8" w:tplc="BC4071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8B6CF1"/>
    <w:multiLevelType w:val="hybridMultilevel"/>
    <w:tmpl w:val="EE086E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E035A"/>
    <w:multiLevelType w:val="hybridMultilevel"/>
    <w:tmpl w:val="1E367B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95F8E"/>
    <w:multiLevelType w:val="hybridMultilevel"/>
    <w:tmpl w:val="3C40D86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97C08A5"/>
    <w:multiLevelType w:val="hybridMultilevel"/>
    <w:tmpl w:val="DAFC8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321ADE"/>
    <w:multiLevelType w:val="hybridMultilevel"/>
    <w:tmpl w:val="C4F20706"/>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15" w15:restartNumberingAfterBreak="0">
    <w:nsid w:val="414B1BDC"/>
    <w:multiLevelType w:val="hybridMultilevel"/>
    <w:tmpl w:val="0A0E05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C686B68"/>
    <w:multiLevelType w:val="hybridMultilevel"/>
    <w:tmpl w:val="7AF8E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5A2865"/>
    <w:multiLevelType w:val="hybridMultilevel"/>
    <w:tmpl w:val="B614C5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53621E1"/>
    <w:multiLevelType w:val="hybridMultilevel"/>
    <w:tmpl w:val="D06C6D36"/>
    <w:lvl w:ilvl="0" w:tplc="29586CF8">
      <w:start w:val="1"/>
      <w:numFmt w:val="bullet"/>
      <w:lvlText w:val="•"/>
      <w:lvlJc w:val="left"/>
      <w:pPr>
        <w:tabs>
          <w:tab w:val="num" w:pos="720"/>
        </w:tabs>
        <w:ind w:left="720" w:hanging="360"/>
      </w:pPr>
      <w:rPr>
        <w:rFonts w:ascii="Arial" w:hAnsi="Arial" w:hint="default"/>
      </w:rPr>
    </w:lvl>
    <w:lvl w:ilvl="1" w:tplc="F7447F6E" w:tentative="1">
      <w:start w:val="1"/>
      <w:numFmt w:val="bullet"/>
      <w:lvlText w:val="•"/>
      <w:lvlJc w:val="left"/>
      <w:pPr>
        <w:tabs>
          <w:tab w:val="num" w:pos="1440"/>
        </w:tabs>
        <w:ind w:left="1440" w:hanging="360"/>
      </w:pPr>
      <w:rPr>
        <w:rFonts w:ascii="Arial" w:hAnsi="Arial" w:hint="default"/>
      </w:rPr>
    </w:lvl>
    <w:lvl w:ilvl="2" w:tplc="1E46A424" w:tentative="1">
      <w:start w:val="1"/>
      <w:numFmt w:val="bullet"/>
      <w:lvlText w:val="•"/>
      <w:lvlJc w:val="left"/>
      <w:pPr>
        <w:tabs>
          <w:tab w:val="num" w:pos="2160"/>
        </w:tabs>
        <w:ind w:left="2160" w:hanging="360"/>
      </w:pPr>
      <w:rPr>
        <w:rFonts w:ascii="Arial" w:hAnsi="Arial" w:hint="default"/>
      </w:rPr>
    </w:lvl>
    <w:lvl w:ilvl="3" w:tplc="816A67A0" w:tentative="1">
      <w:start w:val="1"/>
      <w:numFmt w:val="bullet"/>
      <w:lvlText w:val="•"/>
      <w:lvlJc w:val="left"/>
      <w:pPr>
        <w:tabs>
          <w:tab w:val="num" w:pos="2880"/>
        </w:tabs>
        <w:ind w:left="2880" w:hanging="360"/>
      </w:pPr>
      <w:rPr>
        <w:rFonts w:ascii="Arial" w:hAnsi="Arial" w:hint="default"/>
      </w:rPr>
    </w:lvl>
    <w:lvl w:ilvl="4" w:tplc="E5BCEA8C" w:tentative="1">
      <w:start w:val="1"/>
      <w:numFmt w:val="bullet"/>
      <w:lvlText w:val="•"/>
      <w:lvlJc w:val="left"/>
      <w:pPr>
        <w:tabs>
          <w:tab w:val="num" w:pos="3600"/>
        </w:tabs>
        <w:ind w:left="3600" w:hanging="360"/>
      </w:pPr>
      <w:rPr>
        <w:rFonts w:ascii="Arial" w:hAnsi="Arial" w:hint="default"/>
      </w:rPr>
    </w:lvl>
    <w:lvl w:ilvl="5" w:tplc="99607760" w:tentative="1">
      <w:start w:val="1"/>
      <w:numFmt w:val="bullet"/>
      <w:lvlText w:val="•"/>
      <w:lvlJc w:val="left"/>
      <w:pPr>
        <w:tabs>
          <w:tab w:val="num" w:pos="4320"/>
        </w:tabs>
        <w:ind w:left="4320" w:hanging="360"/>
      </w:pPr>
      <w:rPr>
        <w:rFonts w:ascii="Arial" w:hAnsi="Arial" w:hint="default"/>
      </w:rPr>
    </w:lvl>
    <w:lvl w:ilvl="6" w:tplc="1834FA5A" w:tentative="1">
      <w:start w:val="1"/>
      <w:numFmt w:val="bullet"/>
      <w:lvlText w:val="•"/>
      <w:lvlJc w:val="left"/>
      <w:pPr>
        <w:tabs>
          <w:tab w:val="num" w:pos="5040"/>
        </w:tabs>
        <w:ind w:left="5040" w:hanging="360"/>
      </w:pPr>
      <w:rPr>
        <w:rFonts w:ascii="Arial" w:hAnsi="Arial" w:hint="default"/>
      </w:rPr>
    </w:lvl>
    <w:lvl w:ilvl="7" w:tplc="DD0CA792" w:tentative="1">
      <w:start w:val="1"/>
      <w:numFmt w:val="bullet"/>
      <w:lvlText w:val="•"/>
      <w:lvlJc w:val="left"/>
      <w:pPr>
        <w:tabs>
          <w:tab w:val="num" w:pos="5760"/>
        </w:tabs>
        <w:ind w:left="5760" w:hanging="360"/>
      </w:pPr>
      <w:rPr>
        <w:rFonts w:ascii="Arial" w:hAnsi="Arial" w:hint="default"/>
      </w:rPr>
    </w:lvl>
    <w:lvl w:ilvl="8" w:tplc="3ACAAD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B3F1757"/>
    <w:multiLevelType w:val="hybridMultilevel"/>
    <w:tmpl w:val="1B4CBCB2"/>
    <w:lvl w:ilvl="0" w:tplc="8B7699E4">
      <w:start w:val="1"/>
      <w:numFmt w:val="bullet"/>
      <w:lvlText w:val="•"/>
      <w:lvlJc w:val="left"/>
      <w:pPr>
        <w:tabs>
          <w:tab w:val="num" w:pos="720"/>
        </w:tabs>
        <w:ind w:left="720" w:hanging="360"/>
      </w:pPr>
      <w:rPr>
        <w:rFonts w:ascii="Arial" w:hAnsi="Arial" w:hint="default"/>
      </w:rPr>
    </w:lvl>
    <w:lvl w:ilvl="1" w:tplc="532AFA80" w:tentative="1">
      <w:start w:val="1"/>
      <w:numFmt w:val="bullet"/>
      <w:lvlText w:val="•"/>
      <w:lvlJc w:val="left"/>
      <w:pPr>
        <w:tabs>
          <w:tab w:val="num" w:pos="1440"/>
        </w:tabs>
        <w:ind w:left="1440" w:hanging="360"/>
      </w:pPr>
      <w:rPr>
        <w:rFonts w:ascii="Arial" w:hAnsi="Arial" w:hint="default"/>
      </w:rPr>
    </w:lvl>
    <w:lvl w:ilvl="2" w:tplc="957C5E58" w:tentative="1">
      <w:start w:val="1"/>
      <w:numFmt w:val="bullet"/>
      <w:lvlText w:val="•"/>
      <w:lvlJc w:val="left"/>
      <w:pPr>
        <w:tabs>
          <w:tab w:val="num" w:pos="2160"/>
        </w:tabs>
        <w:ind w:left="2160" w:hanging="360"/>
      </w:pPr>
      <w:rPr>
        <w:rFonts w:ascii="Arial" w:hAnsi="Arial" w:hint="default"/>
      </w:rPr>
    </w:lvl>
    <w:lvl w:ilvl="3" w:tplc="DF00B5AA" w:tentative="1">
      <w:start w:val="1"/>
      <w:numFmt w:val="bullet"/>
      <w:lvlText w:val="•"/>
      <w:lvlJc w:val="left"/>
      <w:pPr>
        <w:tabs>
          <w:tab w:val="num" w:pos="2880"/>
        </w:tabs>
        <w:ind w:left="2880" w:hanging="360"/>
      </w:pPr>
      <w:rPr>
        <w:rFonts w:ascii="Arial" w:hAnsi="Arial" w:hint="default"/>
      </w:rPr>
    </w:lvl>
    <w:lvl w:ilvl="4" w:tplc="AA0AEF36" w:tentative="1">
      <w:start w:val="1"/>
      <w:numFmt w:val="bullet"/>
      <w:lvlText w:val="•"/>
      <w:lvlJc w:val="left"/>
      <w:pPr>
        <w:tabs>
          <w:tab w:val="num" w:pos="3600"/>
        </w:tabs>
        <w:ind w:left="3600" w:hanging="360"/>
      </w:pPr>
      <w:rPr>
        <w:rFonts w:ascii="Arial" w:hAnsi="Arial" w:hint="default"/>
      </w:rPr>
    </w:lvl>
    <w:lvl w:ilvl="5" w:tplc="897608BA" w:tentative="1">
      <w:start w:val="1"/>
      <w:numFmt w:val="bullet"/>
      <w:lvlText w:val="•"/>
      <w:lvlJc w:val="left"/>
      <w:pPr>
        <w:tabs>
          <w:tab w:val="num" w:pos="4320"/>
        </w:tabs>
        <w:ind w:left="4320" w:hanging="360"/>
      </w:pPr>
      <w:rPr>
        <w:rFonts w:ascii="Arial" w:hAnsi="Arial" w:hint="default"/>
      </w:rPr>
    </w:lvl>
    <w:lvl w:ilvl="6" w:tplc="3BFCAAEA" w:tentative="1">
      <w:start w:val="1"/>
      <w:numFmt w:val="bullet"/>
      <w:lvlText w:val="•"/>
      <w:lvlJc w:val="left"/>
      <w:pPr>
        <w:tabs>
          <w:tab w:val="num" w:pos="5040"/>
        </w:tabs>
        <w:ind w:left="5040" w:hanging="360"/>
      </w:pPr>
      <w:rPr>
        <w:rFonts w:ascii="Arial" w:hAnsi="Arial" w:hint="default"/>
      </w:rPr>
    </w:lvl>
    <w:lvl w:ilvl="7" w:tplc="78FE3AB6" w:tentative="1">
      <w:start w:val="1"/>
      <w:numFmt w:val="bullet"/>
      <w:lvlText w:val="•"/>
      <w:lvlJc w:val="left"/>
      <w:pPr>
        <w:tabs>
          <w:tab w:val="num" w:pos="5760"/>
        </w:tabs>
        <w:ind w:left="5760" w:hanging="360"/>
      </w:pPr>
      <w:rPr>
        <w:rFonts w:ascii="Arial" w:hAnsi="Arial" w:hint="default"/>
      </w:rPr>
    </w:lvl>
    <w:lvl w:ilvl="8" w:tplc="E8DE4BA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DBB6ECE"/>
    <w:multiLevelType w:val="hybridMultilevel"/>
    <w:tmpl w:val="00425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806D6"/>
    <w:multiLevelType w:val="hybridMultilevel"/>
    <w:tmpl w:val="6FA6B3C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60577259">
    <w:abstractNumId w:val="18"/>
  </w:num>
  <w:num w:numId="2" w16cid:durableId="1299459274">
    <w:abstractNumId w:val="3"/>
  </w:num>
  <w:num w:numId="3" w16cid:durableId="1217812851">
    <w:abstractNumId w:val="2"/>
  </w:num>
  <w:num w:numId="4" w16cid:durableId="2047900471">
    <w:abstractNumId w:val="1"/>
  </w:num>
  <w:num w:numId="5" w16cid:durableId="1689287744">
    <w:abstractNumId w:val="19"/>
  </w:num>
  <w:num w:numId="6" w16cid:durableId="1413235777">
    <w:abstractNumId w:val="9"/>
  </w:num>
  <w:num w:numId="7" w16cid:durableId="191260575">
    <w:abstractNumId w:val="16"/>
  </w:num>
  <w:num w:numId="8" w16cid:durableId="129638613">
    <w:abstractNumId w:val="6"/>
  </w:num>
  <w:num w:numId="9" w16cid:durableId="933628483">
    <w:abstractNumId w:val="8"/>
  </w:num>
  <w:num w:numId="10" w16cid:durableId="1923175986">
    <w:abstractNumId w:val="4"/>
  </w:num>
  <w:num w:numId="11" w16cid:durableId="1387335039">
    <w:abstractNumId w:val="5"/>
  </w:num>
  <w:num w:numId="12" w16cid:durableId="581767618">
    <w:abstractNumId w:val="21"/>
  </w:num>
  <w:num w:numId="13" w16cid:durableId="852114239">
    <w:abstractNumId w:val="13"/>
  </w:num>
  <w:num w:numId="14" w16cid:durableId="1671446026">
    <w:abstractNumId w:val="11"/>
  </w:num>
  <w:num w:numId="15" w16cid:durableId="1222252326">
    <w:abstractNumId w:val="20"/>
  </w:num>
  <w:num w:numId="16" w16cid:durableId="1045717003">
    <w:abstractNumId w:val="10"/>
  </w:num>
  <w:num w:numId="17" w16cid:durableId="1193180174">
    <w:abstractNumId w:val="17"/>
  </w:num>
  <w:num w:numId="18" w16cid:durableId="814760142">
    <w:abstractNumId w:val="0"/>
  </w:num>
  <w:num w:numId="19" w16cid:durableId="1529248502">
    <w:abstractNumId w:val="12"/>
  </w:num>
  <w:num w:numId="20" w16cid:durableId="1021930610">
    <w:abstractNumId w:val="15"/>
  </w:num>
  <w:num w:numId="21" w16cid:durableId="1717967607">
    <w:abstractNumId w:val="7"/>
  </w:num>
  <w:num w:numId="22" w16cid:durableId="4504375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F0"/>
    <w:rsid w:val="00000530"/>
    <w:rsid w:val="00012350"/>
    <w:rsid w:val="0001420C"/>
    <w:rsid w:val="00030E1A"/>
    <w:rsid w:val="00034472"/>
    <w:rsid w:val="00035ADC"/>
    <w:rsid w:val="00042E6B"/>
    <w:rsid w:val="000578B6"/>
    <w:rsid w:val="00061279"/>
    <w:rsid w:val="00061ED6"/>
    <w:rsid w:val="000664D2"/>
    <w:rsid w:val="00070512"/>
    <w:rsid w:val="000707AE"/>
    <w:rsid w:val="000717E7"/>
    <w:rsid w:val="00073EDA"/>
    <w:rsid w:val="00081AB6"/>
    <w:rsid w:val="00083613"/>
    <w:rsid w:val="000954FC"/>
    <w:rsid w:val="000A29D8"/>
    <w:rsid w:val="000A329E"/>
    <w:rsid w:val="000C1BA8"/>
    <w:rsid w:val="000C4AC6"/>
    <w:rsid w:val="000D2234"/>
    <w:rsid w:val="000D2EB1"/>
    <w:rsid w:val="000F5860"/>
    <w:rsid w:val="000F748B"/>
    <w:rsid w:val="00100FDB"/>
    <w:rsid w:val="00102A77"/>
    <w:rsid w:val="00102D15"/>
    <w:rsid w:val="001254D9"/>
    <w:rsid w:val="00127740"/>
    <w:rsid w:val="001329C0"/>
    <w:rsid w:val="0014051E"/>
    <w:rsid w:val="00143B0F"/>
    <w:rsid w:val="00147B1D"/>
    <w:rsid w:val="001606B8"/>
    <w:rsid w:val="001776D5"/>
    <w:rsid w:val="00181EAC"/>
    <w:rsid w:val="00183DF5"/>
    <w:rsid w:val="001853D3"/>
    <w:rsid w:val="0019025C"/>
    <w:rsid w:val="001C0F5B"/>
    <w:rsid w:val="001C3C30"/>
    <w:rsid w:val="001D1520"/>
    <w:rsid w:val="001D26FE"/>
    <w:rsid w:val="001D285F"/>
    <w:rsid w:val="001D791F"/>
    <w:rsid w:val="001E077C"/>
    <w:rsid w:val="001E1158"/>
    <w:rsid w:val="001F78AE"/>
    <w:rsid w:val="002007AF"/>
    <w:rsid w:val="00201290"/>
    <w:rsid w:val="00206BA2"/>
    <w:rsid w:val="002148DB"/>
    <w:rsid w:val="00221D5D"/>
    <w:rsid w:val="00222A44"/>
    <w:rsid w:val="00244017"/>
    <w:rsid w:val="00250357"/>
    <w:rsid w:val="002547F5"/>
    <w:rsid w:val="002571F5"/>
    <w:rsid w:val="00257865"/>
    <w:rsid w:val="00261F39"/>
    <w:rsid w:val="00277B62"/>
    <w:rsid w:val="00286DAB"/>
    <w:rsid w:val="002879A7"/>
    <w:rsid w:val="002916EF"/>
    <w:rsid w:val="002959F5"/>
    <w:rsid w:val="002A7A81"/>
    <w:rsid w:val="002B0B28"/>
    <w:rsid w:val="002B1CA4"/>
    <w:rsid w:val="002B2389"/>
    <w:rsid w:val="002B3989"/>
    <w:rsid w:val="002D31C1"/>
    <w:rsid w:val="002D5535"/>
    <w:rsid w:val="002E4887"/>
    <w:rsid w:val="002F23E6"/>
    <w:rsid w:val="00306992"/>
    <w:rsid w:val="00307B2C"/>
    <w:rsid w:val="00314DAD"/>
    <w:rsid w:val="00315442"/>
    <w:rsid w:val="003169AC"/>
    <w:rsid w:val="00317E7D"/>
    <w:rsid w:val="00322364"/>
    <w:rsid w:val="00334F70"/>
    <w:rsid w:val="00343DB9"/>
    <w:rsid w:val="003559DC"/>
    <w:rsid w:val="00366143"/>
    <w:rsid w:val="00367476"/>
    <w:rsid w:val="00370361"/>
    <w:rsid w:val="00373442"/>
    <w:rsid w:val="003750AA"/>
    <w:rsid w:val="00381C16"/>
    <w:rsid w:val="003A1CF6"/>
    <w:rsid w:val="003B28E8"/>
    <w:rsid w:val="003B48F0"/>
    <w:rsid w:val="003B59DE"/>
    <w:rsid w:val="003C7294"/>
    <w:rsid w:val="003D60B9"/>
    <w:rsid w:val="003D72E2"/>
    <w:rsid w:val="003E2694"/>
    <w:rsid w:val="004044D1"/>
    <w:rsid w:val="00406B9F"/>
    <w:rsid w:val="0041057E"/>
    <w:rsid w:val="004152AE"/>
    <w:rsid w:val="004162F0"/>
    <w:rsid w:val="00426D34"/>
    <w:rsid w:val="00427456"/>
    <w:rsid w:val="00427569"/>
    <w:rsid w:val="00444AB7"/>
    <w:rsid w:val="00454311"/>
    <w:rsid w:val="00456D80"/>
    <w:rsid w:val="00460EEB"/>
    <w:rsid w:val="00463DE9"/>
    <w:rsid w:val="0047283E"/>
    <w:rsid w:val="00473888"/>
    <w:rsid w:val="004858FA"/>
    <w:rsid w:val="004913C1"/>
    <w:rsid w:val="00494C5D"/>
    <w:rsid w:val="004A63DC"/>
    <w:rsid w:val="004B20DD"/>
    <w:rsid w:val="004B54A0"/>
    <w:rsid w:val="004D507A"/>
    <w:rsid w:val="004E07B0"/>
    <w:rsid w:val="004F1ACF"/>
    <w:rsid w:val="004F4438"/>
    <w:rsid w:val="00502080"/>
    <w:rsid w:val="00506DA2"/>
    <w:rsid w:val="0051632C"/>
    <w:rsid w:val="00522486"/>
    <w:rsid w:val="00533864"/>
    <w:rsid w:val="00536620"/>
    <w:rsid w:val="0053731F"/>
    <w:rsid w:val="00560649"/>
    <w:rsid w:val="00563E87"/>
    <w:rsid w:val="005643D0"/>
    <w:rsid w:val="00571D6B"/>
    <w:rsid w:val="00576177"/>
    <w:rsid w:val="00580492"/>
    <w:rsid w:val="00583D39"/>
    <w:rsid w:val="005929F1"/>
    <w:rsid w:val="005A119F"/>
    <w:rsid w:val="005B2EE9"/>
    <w:rsid w:val="005C3C0D"/>
    <w:rsid w:val="005C58BB"/>
    <w:rsid w:val="005C5DAC"/>
    <w:rsid w:val="005C7134"/>
    <w:rsid w:val="005D1BF3"/>
    <w:rsid w:val="005E1703"/>
    <w:rsid w:val="005E2172"/>
    <w:rsid w:val="005E45D5"/>
    <w:rsid w:val="005E5688"/>
    <w:rsid w:val="005E7701"/>
    <w:rsid w:val="005E7CCF"/>
    <w:rsid w:val="005F02F6"/>
    <w:rsid w:val="005F2576"/>
    <w:rsid w:val="005F546E"/>
    <w:rsid w:val="005F560B"/>
    <w:rsid w:val="00603D07"/>
    <w:rsid w:val="006079AE"/>
    <w:rsid w:val="00614828"/>
    <w:rsid w:val="0062034B"/>
    <w:rsid w:val="00646FDA"/>
    <w:rsid w:val="00652494"/>
    <w:rsid w:val="00656B62"/>
    <w:rsid w:val="00657014"/>
    <w:rsid w:val="006655BD"/>
    <w:rsid w:val="0067151A"/>
    <w:rsid w:val="00677E9F"/>
    <w:rsid w:val="00680457"/>
    <w:rsid w:val="0068178E"/>
    <w:rsid w:val="0068544D"/>
    <w:rsid w:val="006869D0"/>
    <w:rsid w:val="00687091"/>
    <w:rsid w:val="006919C9"/>
    <w:rsid w:val="006A1920"/>
    <w:rsid w:val="006A1B4D"/>
    <w:rsid w:val="006A494C"/>
    <w:rsid w:val="006B6519"/>
    <w:rsid w:val="006B65F4"/>
    <w:rsid w:val="006B66E8"/>
    <w:rsid w:val="006C67A9"/>
    <w:rsid w:val="006C755A"/>
    <w:rsid w:val="006E3649"/>
    <w:rsid w:val="006E405D"/>
    <w:rsid w:val="006F7649"/>
    <w:rsid w:val="0070173C"/>
    <w:rsid w:val="0071024E"/>
    <w:rsid w:val="00713FAD"/>
    <w:rsid w:val="00715E7A"/>
    <w:rsid w:val="00727A9C"/>
    <w:rsid w:val="00733B59"/>
    <w:rsid w:val="007441BF"/>
    <w:rsid w:val="00747B50"/>
    <w:rsid w:val="0075192A"/>
    <w:rsid w:val="00756DE0"/>
    <w:rsid w:val="0076371C"/>
    <w:rsid w:val="00765010"/>
    <w:rsid w:val="007818A1"/>
    <w:rsid w:val="00787DD5"/>
    <w:rsid w:val="0079561F"/>
    <w:rsid w:val="00795D62"/>
    <w:rsid w:val="007B3F14"/>
    <w:rsid w:val="007B5C14"/>
    <w:rsid w:val="007B7190"/>
    <w:rsid w:val="007C4E34"/>
    <w:rsid w:val="007C7C06"/>
    <w:rsid w:val="007D237E"/>
    <w:rsid w:val="007E3A93"/>
    <w:rsid w:val="007E451A"/>
    <w:rsid w:val="007F3BD2"/>
    <w:rsid w:val="00800361"/>
    <w:rsid w:val="00803109"/>
    <w:rsid w:val="008070DE"/>
    <w:rsid w:val="00814662"/>
    <w:rsid w:val="00820F7E"/>
    <w:rsid w:val="008225D3"/>
    <w:rsid w:val="00833D8E"/>
    <w:rsid w:val="00835317"/>
    <w:rsid w:val="00836634"/>
    <w:rsid w:val="00841753"/>
    <w:rsid w:val="00843CFC"/>
    <w:rsid w:val="00851EB7"/>
    <w:rsid w:val="00855D5A"/>
    <w:rsid w:val="00855EC2"/>
    <w:rsid w:val="008624CD"/>
    <w:rsid w:val="00877601"/>
    <w:rsid w:val="0089345E"/>
    <w:rsid w:val="0089742A"/>
    <w:rsid w:val="008A7981"/>
    <w:rsid w:val="008A7AD5"/>
    <w:rsid w:val="008C36C9"/>
    <w:rsid w:val="008E1310"/>
    <w:rsid w:val="008F263D"/>
    <w:rsid w:val="008F3EAC"/>
    <w:rsid w:val="008F4B03"/>
    <w:rsid w:val="008F520D"/>
    <w:rsid w:val="0090158A"/>
    <w:rsid w:val="00910D5C"/>
    <w:rsid w:val="0092042C"/>
    <w:rsid w:val="0092067D"/>
    <w:rsid w:val="0092530D"/>
    <w:rsid w:val="00932AD8"/>
    <w:rsid w:val="00935745"/>
    <w:rsid w:val="00942FE0"/>
    <w:rsid w:val="0094742C"/>
    <w:rsid w:val="00950B37"/>
    <w:rsid w:val="00955FD5"/>
    <w:rsid w:val="00961721"/>
    <w:rsid w:val="00962CB2"/>
    <w:rsid w:val="00975B60"/>
    <w:rsid w:val="009825A9"/>
    <w:rsid w:val="0098536F"/>
    <w:rsid w:val="009856BB"/>
    <w:rsid w:val="00994DFC"/>
    <w:rsid w:val="00996239"/>
    <w:rsid w:val="009A2A99"/>
    <w:rsid w:val="009B657C"/>
    <w:rsid w:val="009C040B"/>
    <w:rsid w:val="009C7042"/>
    <w:rsid w:val="009E33E0"/>
    <w:rsid w:val="009E7BFC"/>
    <w:rsid w:val="009F6EE1"/>
    <w:rsid w:val="00A11EAC"/>
    <w:rsid w:val="00A16225"/>
    <w:rsid w:val="00A227B6"/>
    <w:rsid w:val="00A32F3A"/>
    <w:rsid w:val="00A34C14"/>
    <w:rsid w:val="00A402C4"/>
    <w:rsid w:val="00A44FF8"/>
    <w:rsid w:val="00A46E7F"/>
    <w:rsid w:val="00A47E97"/>
    <w:rsid w:val="00A512B0"/>
    <w:rsid w:val="00A53D39"/>
    <w:rsid w:val="00A5501E"/>
    <w:rsid w:val="00A57A5B"/>
    <w:rsid w:val="00A57C99"/>
    <w:rsid w:val="00A6614E"/>
    <w:rsid w:val="00A80145"/>
    <w:rsid w:val="00A80BE4"/>
    <w:rsid w:val="00A81F1F"/>
    <w:rsid w:val="00A825DE"/>
    <w:rsid w:val="00A8431F"/>
    <w:rsid w:val="00A93BEA"/>
    <w:rsid w:val="00A95D65"/>
    <w:rsid w:val="00A96B7B"/>
    <w:rsid w:val="00AA64BF"/>
    <w:rsid w:val="00AB3497"/>
    <w:rsid w:val="00AB3DEA"/>
    <w:rsid w:val="00AB4A47"/>
    <w:rsid w:val="00AB5BD1"/>
    <w:rsid w:val="00AB72FC"/>
    <w:rsid w:val="00AC1939"/>
    <w:rsid w:val="00AD1055"/>
    <w:rsid w:val="00AD6B0E"/>
    <w:rsid w:val="00AE5044"/>
    <w:rsid w:val="00B01441"/>
    <w:rsid w:val="00B100BB"/>
    <w:rsid w:val="00B14510"/>
    <w:rsid w:val="00B165F3"/>
    <w:rsid w:val="00B31CEE"/>
    <w:rsid w:val="00B33083"/>
    <w:rsid w:val="00B33398"/>
    <w:rsid w:val="00B33A17"/>
    <w:rsid w:val="00B34166"/>
    <w:rsid w:val="00B3742C"/>
    <w:rsid w:val="00B40354"/>
    <w:rsid w:val="00B43060"/>
    <w:rsid w:val="00B454CF"/>
    <w:rsid w:val="00B46DFE"/>
    <w:rsid w:val="00B50C09"/>
    <w:rsid w:val="00B55B7B"/>
    <w:rsid w:val="00B57A52"/>
    <w:rsid w:val="00B6004A"/>
    <w:rsid w:val="00B60314"/>
    <w:rsid w:val="00B86BE7"/>
    <w:rsid w:val="00B86C3D"/>
    <w:rsid w:val="00B9384F"/>
    <w:rsid w:val="00BA13BF"/>
    <w:rsid w:val="00BA2612"/>
    <w:rsid w:val="00BA5B08"/>
    <w:rsid w:val="00BA65C8"/>
    <w:rsid w:val="00BB1AD6"/>
    <w:rsid w:val="00BC046A"/>
    <w:rsid w:val="00BD414B"/>
    <w:rsid w:val="00BE79A3"/>
    <w:rsid w:val="00BF2CC0"/>
    <w:rsid w:val="00C05FFD"/>
    <w:rsid w:val="00C07A3D"/>
    <w:rsid w:val="00C1247D"/>
    <w:rsid w:val="00C31EA3"/>
    <w:rsid w:val="00C32605"/>
    <w:rsid w:val="00C35B73"/>
    <w:rsid w:val="00C53A81"/>
    <w:rsid w:val="00C57BD7"/>
    <w:rsid w:val="00C61409"/>
    <w:rsid w:val="00C65BCE"/>
    <w:rsid w:val="00C71CD5"/>
    <w:rsid w:val="00C74A67"/>
    <w:rsid w:val="00C808E3"/>
    <w:rsid w:val="00C8499B"/>
    <w:rsid w:val="00C92EBD"/>
    <w:rsid w:val="00CB137F"/>
    <w:rsid w:val="00CC6608"/>
    <w:rsid w:val="00CD19E6"/>
    <w:rsid w:val="00CD3117"/>
    <w:rsid w:val="00CE502B"/>
    <w:rsid w:val="00CE590B"/>
    <w:rsid w:val="00CF7ED2"/>
    <w:rsid w:val="00D00CE9"/>
    <w:rsid w:val="00D051F8"/>
    <w:rsid w:val="00D126B9"/>
    <w:rsid w:val="00D407BC"/>
    <w:rsid w:val="00D45698"/>
    <w:rsid w:val="00D53335"/>
    <w:rsid w:val="00D55202"/>
    <w:rsid w:val="00D600FC"/>
    <w:rsid w:val="00D753CE"/>
    <w:rsid w:val="00D75F7C"/>
    <w:rsid w:val="00D766B9"/>
    <w:rsid w:val="00D76790"/>
    <w:rsid w:val="00D8553B"/>
    <w:rsid w:val="00D94546"/>
    <w:rsid w:val="00D97DF0"/>
    <w:rsid w:val="00DA2BD4"/>
    <w:rsid w:val="00DC4594"/>
    <w:rsid w:val="00DD1191"/>
    <w:rsid w:val="00DD55F3"/>
    <w:rsid w:val="00DD6327"/>
    <w:rsid w:val="00DD7C14"/>
    <w:rsid w:val="00DD7E6C"/>
    <w:rsid w:val="00DE3989"/>
    <w:rsid w:val="00DE3D0B"/>
    <w:rsid w:val="00DF23A4"/>
    <w:rsid w:val="00E0415F"/>
    <w:rsid w:val="00E14FE3"/>
    <w:rsid w:val="00E25DBF"/>
    <w:rsid w:val="00E32C47"/>
    <w:rsid w:val="00E35EF8"/>
    <w:rsid w:val="00E457E9"/>
    <w:rsid w:val="00E50123"/>
    <w:rsid w:val="00E50D13"/>
    <w:rsid w:val="00E641D9"/>
    <w:rsid w:val="00E86C80"/>
    <w:rsid w:val="00EB1F0A"/>
    <w:rsid w:val="00ED3B55"/>
    <w:rsid w:val="00ED4D61"/>
    <w:rsid w:val="00ED66E9"/>
    <w:rsid w:val="00ED6B87"/>
    <w:rsid w:val="00EE453F"/>
    <w:rsid w:val="00EE4BF8"/>
    <w:rsid w:val="00EF3D72"/>
    <w:rsid w:val="00EF4D83"/>
    <w:rsid w:val="00F03487"/>
    <w:rsid w:val="00F04120"/>
    <w:rsid w:val="00F05AB8"/>
    <w:rsid w:val="00F072D7"/>
    <w:rsid w:val="00F07F14"/>
    <w:rsid w:val="00F215BD"/>
    <w:rsid w:val="00F36F50"/>
    <w:rsid w:val="00F44FB1"/>
    <w:rsid w:val="00F51746"/>
    <w:rsid w:val="00F52EAA"/>
    <w:rsid w:val="00F60A13"/>
    <w:rsid w:val="00F709A7"/>
    <w:rsid w:val="00F724C1"/>
    <w:rsid w:val="00F84742"/>
    <w:rsid w:val="00F933CB"/>
    <w:rsid w:val="00F9796D"/>
    <w:rsid w:val="00FA3BF0"/>
    <w:rsid w:val="00FA5425"/>
    <w:rsid w:val="00FB108D"/>
    <w:rsid w:val="00FB27E7"/>
    <w:rsid w:val="00FB2EE0"/>
    <w:rsid w:val="00FB4D09"/>
    <w:rsid w:val="00FB7308"/>
    <w:rsid w:val="00FC2AE5"/>
    <w:rsid w:val="00FC4DCB"/>
    <w:rsid w:val="00FD53D0"/>
    <w:rsid w:val="00FD7278"/>
    <w:rsid w:val="00FD7C95"/>
    <w:rsid w:val="00FE0283"/>
    <w:rsid w:val="00FE099D"/>
    <w:rsid w:val="00FE4DBA"/>
    <w:rsid w:val="00FF00A9"/>
    <w:rsid w:val="00FF72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B4C1"/>
  <w15:docId w15:val="{AA602AD6-0754-4360-AE8F-2E80E436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link w:val="Nagwek4Znak"/>
    <w:uiPriority w:val="9"/>
    <w:qFormat/>
    <w:rsid w:val="005F54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5F546E"/>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4D507A"/>
    <w:pPr>
      <w:spacing w:after="0" w:line="240" w:lineRule="auto"/>
      <w:ind w:left="720"/>
      <w:contextualSpacing/>
    </w:pPr>
    <w:rPr>
      <w:rFonts w:ascii="Times New Roman" w:eastAsia="Times New Roman" w:hAnsi="Times New Roman" w:cs="Times New Roman"/>
      <w:sz w:val="24"/>
      <w:szCs w:val="24"/>
    </w:rPr>
  </w:style>
  <w:style w:type="paragraph" w:styleId="NormalnyWeb">
    <w:name w:val="Normal (Web)"/>
    <w:basedOn w:val="Normalny"/>
    <w:uiPriority w:val="99"/>
    <w:unhideWhenUsed/>
    <w:rsid w:val="0014051E"/>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4A63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3DC"/>
    <w:rPr>
      <w:rFonts w:ascii="Tahoma" w:hAnsi="Tahoma" w:cs="Tahoma"/>
      <w:sz w:val="16"/>
      <w:szCs w:val="16"/>
    </w:rPr>
  </w:style>
  <w:style w:type="paragraph" w:customStyle="1" w:styleId="Default">
    <w:name w:val="Default"/>
    <w:rsid w:val="0084175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semiHidden/>
    <w:unhideWhenUsed/>
    <w:rsid w:val="004B20D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B20DD"/>
  </w:style>
  <w:style w:type="paragraph" w:styleId="Stopka">
    <w:name w:val="footer"/>
    <w:basedOn w:val="Normalny"/>
    <w:link w:val="StopkaZnak"/>
    <w:uiPriority w:val="99"/>
    <w:unhideWhenUsed/>
    <w:rsid w:val="004B20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0DD"/>
  </w:style>
  <w:style w:type="table" w:styleId="Tabela-Siatka">
    <w:name w:val="Table Grid"/>
    <w:basedOn w:val="Standardowy"/>
    <w:uiPriority w:val="59"/>
    <w:unhideWhenUsed/>
    <w:rsid w:val="00BD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semiHidden/>
    <w:unhideWhenUsed/>
    <w:rsid w:val="00127740"/>
    <w:rPr>
      <w:color w:val="0563C1"/>
      <w:u w:val="single"/>
    </w:rPr>
  </w:style>
  <w:style w:type="character" w:styleId="Uwydatnienie">
    <w:name w:val="Emphasis"/>
    <w:basedOn w:val="Domylnaczcionkaakapitu"/>
    <w:uiPriority w:val="20"/>
    <w:qFormat/>
    <w:rsid w:val="00B40354"/>
    <w:rPr>
      <w:i/>
      <w:iCs/>
    </w:rPr>
  </w:style>
  <w:style w:type="character" w:styleId="Pogrubienie">
    <w:name w:val="Strong"/>
    <w:basedOn w:val="Domylnaczcionkaakapitu"/>
    <w:uiPriority w:val="22"/>
    <w:qFormat/>
    <w:rsid w:val="00B403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2201">
      <w:bodyDiv w:val="1"/>
      <w:marLeft w:val="0"/>
      <w:marRight w:val="0"/>
      <w:marTop w:val="0"/>
      <w:marBottom w:val="0"/>
      <w:divBdr>
        <w:top w:val="none" w:sz="0" w:space="0" w:color="auto"/>
        <w:left w:val="none" w:sz="0" w:space="0" w:color="auto"/>
        <w:bottom w:val="none" w:sz="0" w:space="0" w:color="auto"/>
        <w:right w:val="none" w:sz="0" w:space="0" w:color="auto"/>
      </w:divBdr>
      <w:divsChild>
        <w:div w:id="1201162712">
          <w:marLeft w:val="547"/>
          <w:marRight w:val="0"/>
          <w:marTop w:val="154"/>
          <w:marBottom w:val="0"/>
          <w:divBdr>
            <w:top w:val="none" w:sz="0" w:space="0" w:color="auto"/>
            <w:left w:val="none" w:sz="0" w:space="0" w:color="auto"/>
            <w:bottom w:val="none" w:sz="0" w:space="0" w:color="auto"/>
            <w:right w:val="none" w:sz="0" w:space="0" w:color="auto"/>
          </w:divBdr>
        </w:div>
      </w:divsChild>
    </w:div>
    <w:div w:id="145127131">
      <w:bodyDiv w:val="1"/>
      <w:marLeft w:val="0"/>
      <w:marRight w:val="0"/>
      <w:marTop w:val="0"/>
      <w:marBottom w:val="0"/>
      <w:divBdr>
        <w:top w:val="none" w:sz="0" w:space="0" w:color="auto"/>
        <w:left w:val="none" w:sz="0" w:space="0" w:color="auto"/>
        <w:bottom w:val="none" w:sz="0" w:space="0" w:color="auto"/>
        <w:right w:val="none" w:sz="0" w:space="0" w:color="auto"/>
      </w:divBdr>
    </w:div>
    <w:div w:id="565144757">
      <w:bodyDiv w:val="1"/>
      <w:marLeft w:val="0"/>
      <w:marRight w:val="0"/>
      <w:marTop w:val="0"/>
      <w:marBottom w:val="0"/>
      <w:divBdr>
        <w:top w:val="none" w:sz="0" w:space="0" w:color="auto"/>
        <w:left w:val="none" w:sz="0" w:space="0" w:color="auto"/>
        <w:bottom w:val="none" w:sz="0" w:space="0" w:color="auto"/>
        <w:right w:val="none" w:sz="0" w:space="0" w:color="auto"/>
      </w:divBdr>
    </w:div>
    <w:div w:id="645429892">
      <w:bodyDiv w:val="1"/>
      <w:marLeft w:val="0"/>
      <w:marRight w:val="0"/>
      <w:marTop w:val="0"/>
      <w:marBottom w:val="0"/>
      <w:divBdr>
        <w:top w:val="none" w:sz="0" w:space="0" w:color="auto"/>
        <w:left w:val="none" w:sz="0" w:space="0" w:color="auto"/>
        <w:bottom w:val="none" w:sz="0" w:space="0" w:color="auto"/>
        <w:right w:val="none" w:sz="0" w:space="0" w:color="auto"/>
      </w:divBdr>
    </w:div>
    <w:div w:id="646469940">
      <w:bodyDiv w:val="1"/>
      <w:marLeft w:val="0"/>
      <w:marRight w:val="0"/>
      <w:marTop w:val="0"/>
      <w:marBottom w:val="0"/>
      <w:divBdr>
        <w:top w:val="none" w:sz="0" w:space="0" w:color="auto"/>
        <w:left w:val="none" w:sz="0" w:space="0" w:color="auto"/>
        <w:bottom w:val="none" w:sz="0" w:space="0" w:color="auto"/>
        <w:right w:val="none" w:sz="0" w:space="0" w:color="auto"/>
      </w:divBdr>
    </w:div>
    <w:div w:id="687177365">
      <w:bodyDiv w:val="1"/>
      <w:marLeft w:val="0"/>
      <w:marRight w:val="0"/>
      <w:marTop w:val="0"/>
      <w:marBottom w:val="0"/>
      <w:divBdr>
        <w:top w:val="none" w:sz="0" w:space="0" w:color="auto"/>
        <w:left w:val="none" w:sz="0" w:space="0" w:color="auto"/>
        <w:bottom w:val="none" w:sz="0" w:space="0" w:color="auto"/>
        <w:right w:val="none" w:sz="0" w:space="0" w:color="auto"/>
      </w:divBdr>
    </w:div>
    <w:div w:id="714157587">
      <w:bodyDiv w:val="1"/>
      <w:marLeft w:val="0"/>
      <w:marRight w:val="0"/>
      <w:marTop w:val="0"/>
      <w:marBottom w:val="0"/>
      <w:divBdr>
        <w:top w:val="none" w:sz="0" w:space="0" w:color="auto"/>
        <w:left w:val="none" w:sz="0" w:space="0" w:color="auto"/>
        <w:bottom w:val="none" w:sz="0" w:space="0" w:color="auto"/>
        <w:right w:val="none" w:sz="0" w:space="0" w:color="auto"/>
      </w:divBdr>
    </w:div>
    <w:div w:id="832915619">
      <w:bodyDiv w:val="1"/>
      <w:marLeft w:val="0"/>
      <w:marRight w:val="0"/>
      <w:marTop w:val="0"/>
      <w:marBottom w:val="0"/>
      <w:divBdr>
        <w:top w:val="none" w:sz="0" w:space="0" w:color="auto"/>
        <w:left w:val="none" w:sz="0" w:space="0" w:color="auto"/>
        <w:bottom w:val="none" w:sz="0" w:space="0" w:color="auto"/>
        <w:right w:val="none" w:sz="0" w:space="0" w:color="auto"/>
      </w:divBdr>
      <w:divsChild>
        <w:div w:id="1717703292">
          <w:marLeft w:val="547"/>
          <w:marRight w:val="0"/>
          <w:marTop w:val="154"/>
          <w:marBottom w:val="0"/>
          <w:divBdr>
            <w:top w:val="none" w:sz="0" w:space="0" w:color="auto"/>
            <w:left w:val="none" w:sz="0" w:space="0" w:color="auto"/>
            <w:bottom w:val="none" w:sz="0" w:space="0" w:color="auto"/>
            <w:right w:val="none" w:sz="0" w:space="0" w:color="auto"/>
          </w:divBdr>
        </w:div>
      </w:divsChild>
    </w:div>
    <w:div w:id="1179853462">
      <w:bodyDiv w:val="1"/>
      <w:marLeft w:val="0"/>
      <w:marRight w:val="0"/>
      <w:marTop w:val="0"/>
      <w:marBottom w:val="0"/>
      <w:divBdr>
        <w:top w:val="none" w:sz="0" w:space="0" w:color="auto"/>
        <w:left w:val="none" w:sz="0" w:space="0" w:color="auto"/>
        <w:bottom w:val="none" w:sz="0" w:space="0" w:color="auto"/>
        <w:right w:val="none" w:sz="0" w:space="0" w:color="auto"/>
      </w:divBdr>
      <w:divsChild>
        <w:div w:id="2129664354">
          <w:marLeft w:val="547"/>
          <w:marRight w:val="0"/>
          <w:marTop w:val="144"/>
          <w:marBottom w:val="0"/>
          <w:divBdr>
            <w:top w:val="none" w:sz="0" w:space="0" w:color="auto"/>
            <w:left w:val="none" w:sz="0" w:space="0" w:color="auto"/>
            <w:bottom w:val="none" w:sz="0" w:space="0" w:color="auto"/>
            <w:right w:val="none" w:sz="0" w:space="0" w:color="auto"/>
          </w:divBdr>
        </w:div>
      </w:divsChild>
    </w:div>
    <w:div w:id="1304653864">
      <w:bodyDiv w:val="1"/>
      <w:marLeft w:val="0"/>
      <w:marRight w:val="0"/>
      <w:marTop w:val="0"/>
      <w:marBottom w:val="0"/>
      <w:divBdr>
        <w:top w:val="none" w:sz="0" w:space="0" w:color="auto"/>
        <w:left w:val="none" w:sz="0" w:space="0" w:color="auto"/>
        <w:bottom w:val="none" w:sz="0" w:space="0" w:color="auto"/>
        <w:right w:val="none" w:sz="0" w:space="0" w:color="auto"/>
      </w:divBdr>
    </w:div>
    <w:div w:id="1443499576">
      <w:bodyDiv w:val="1"/>
      <w:marLeft w:val="0"/>
      <w:marRight w:val="0"/>
      <w:marTop w:val="0"/>
      <w:marBottom w:val="0"/>
      <w:divBdr>
        <w:top w:val="none" w:sz="0" w:space="0" w:color="auto"/>
        <w:left w:val="none" w:sz="0" w:space="0" w:color="auto"/>
        <w:bottom w:val="none" w:sz="0" w:space="0" w:color="auto"/>
        <w:right w:val="none" w:sz="0" w:space="0" w:color="auto"/>
      </w:divBdr>
      <w:divsChild>
        <w:div w:id="900288263">
          <w:marLeft w:val="547"/>
          <w:marRight w:val="0"/>
          <w:marTop w:val="154"/>
          <w:marBottom w:val="0"/>
          <w:divBdr>
            <w:top w:val="none" w:sz="0" w:space="0" w:color="auto"/>
            <w:left w:val="none" w:sz="0" w:space="0" w:color="auto"/>
            <w:bottom w:val="none" w:sz="0" w:space="0" w:color="auto"/>
            <w:right w:val="none" w:sz="0" w:space="0" w:color="auto"/>
          </w:divBdr>
        </w:div>
      </w:divsChild>
    </w:div>
    <w:div w:id="1480264868">
      <w:bodyDiv w:val="1"/>
      <w:marLeft w:val="0"/>
      <w:marRight w:val="0"/>
      <w:marTop w:val="0"/>
      <w:marBottom w:val="0"/>
      <w:divBdr>
        <w:top w:val="none" w:sz="0" w:space="0" w:color="auto"/>
        <w:left w:val="none" w:sz="0" w:space="0" w:color="auto"/>
        <w:bottom w:val="none" w:sz="0" w:space="0" w:color="auto"/>
        <w:right w:val="none" w:sz="0" w:space="0" w:color="auto"/>
      </w:divBdr>
    </w:div>
    <w:div w:id="1494645349">
      <w:bodyDiv w:val="1"/>
      <w:marLeft w:val="0"/>
      <w:marRight w:val="0"/>
      <w:marTop w:val="0"/>
      <w:marBottom w:val="0"/>
      <w:divBdr>
        <w:top w:val="none" w:sz="0" w:space="0" w:color="auto"/>
        <w:left w:val="none" w:sz="0" w:space="0" w:color="auto"/>
        <w:bottom w:val="none" w:sz="0" w:space="0" w:color="auto"/>
        <w:right w:val="none" w:sz="0" w:space="0" w:color="auto"/>
      </w:divBdr>
    </w:div>
    <w:div w:id="1595044871">
      <w:bodyDiv w:val="1"/>
      <w:marLeft w:val="0"/>
      <w:marRight w:val="0"/>
      <w:marTop w:val="0"/>
      <w:marBottom w:val="0"/>
      <w:divBdr>
        <w:top w:val="none" w:sz="0" w:space="0" w:color="auto"/>
        <w:left w:val="none" w:sz="0" w:space="0" w:color="auto"/>
        <w:bottom w:val="none" w:sz="0" w:space="0" w:color="auto"/>
        <w:right w:val="none" w:sz="0" w:space="0" w:color="auto"/>
      </w:divBdr>
      <w:divsChild>
        <w:div w:id="735592211">
          <w:marLeft w:val="547"/>
          <w:marRight w:val="0"/>
          <w:marTop w:val="154"/>
          <w:marBottom w:val="0"/>
          <w:divBdr>
            <w:top w:val="none" w:sz="0" w:space="0" w:color="auto"/>
            <w:left w:val="none" w:sz="0" w:space="0" w:color="auto"/>
            <w:bottom w:val="none" w:sz="0" w:space="0" w:color="auto"/>
            <w:right w:val="none" w:sz="0" w:space="0" w:color="auto"/>
          </w:divBdr>
        </w:div>
      </w:divsChild>
    </w:div>
    <w:div w:id="1632859544">
      <w:bodyDiv w:val="1"/>
      <w:marLeft w:val="0"/>
      <w:marRight w:val="0"/>
      <w:marTop w:val="0"/>
      <w:marBottom w:val="0"/>
      <w:divBdr>
        <w:top w:val="none" w:sz="0" w:space="0" w:color="auto"/>
        <w:left w:val="none" w:sz="0" w:space="0" w:color="auto"/>
        <w:bottom w:val="none" w:sz="0" w:space="0" w:color="auto"/>
        <w:right w:val="none" w:sz="0" w:space="0" w:color="auto"/>
      </w:divBdr>
      <w:divsChild>
        <w:div w:id="1330252366">
          <w:marLeft w:val="547"/>
          <w:marRight w:val="0"/>
          <w:marTop w:val="154"/>
          <w:marBottom w:val="0"/>
          <w:divBdr>
            <w:top w:val="none" w:sz="0" w:space="0" w:color="auto"/>
            <w:left w:val="none" w:sz="0" w:space="0" w:color="auto"/>
            <w:bottom w:val="none" w:sz="0" w:space="0" w:color="auto"/>
            <w:right w:val="none" w:sz="0" w:space="0" w:color="auto"/>
          </w:divBdr>
        </w:div>
      </w:divsChild>
    </w:div>
    <w:div w:id="1635480709">
      <w:bodyDiv w:val="1"/>
      <w:marLeft w:val="0"/>
      <w:marRight w:val="0"/>
      <w:marTop w:val="0"/>
      <w:marBottom w:val="0"/>
      <w:divBdr>
        <w:top w:val="none" w:sz="0" w:space="0" w:color="auto"/>
        <w:left w:val="none" w:sz="0" w:space="0" w:color="auto"/>
        <w:bottom w:val="none" w:sz="0" w:space="0" w:color="auto"/>
        <w:right w:val="none" w:sz="0" w:space="0" w:color="auto"/>
      </w:divBdr>
    </w:div>
    <w:div w:id="1748573778">
      <w:bodyDiv w:val="1"/>
      <w:marLeft w:val="0"/>
      <w:marRight w:val="0"/>
      <w:marTop w:val="0"/>
      <w:marBottom w:val="0"/>
      <w:divBdr>
        <w:top w:val="none" w:sz="0" w:space="0" w:color="auto"/>
        <w:left w:val="none" w:sz="0" w:space="0" w:color="auto"/>
        <w:bottom w:val="none" w:sz="0" w:space="0" w:color="auto"/>
        <w:right w:val="none" w:sz="0" w:space="0" w:color="auto"/>
      </w:divBdr>
    </w:div>
    <w:div w:id="1837108655">
      <w:bodyDiv w:val="1"/>
      <w:marLeft w:val="0"/>
      <w:marRight w:val="0"/>
      <w:marTop w:val="0"/>
      <w:marBottom w:val="0"/>
      <w:divBdr>
        <w:top w:val="none" w:sz="0" w:space="0" w:color="auto"/>
        <w:left w:val="none" w:sz="0" w:space="0" w:color="auto"/>
        <w:bottom w:val="none" w:sz="0" w:space="0" w:color="auto"/>
        <w:right w:val="none" w:sz="0" w:space="0" w:color="auto"/>
      </w:divBdr>
    </w:div>
    <w:div w:id="1971936932">
      <w:bodyDiv w:val="1"/>
      <w:marLeft w:val="0"/>
      <w:marRight w:val="0"/>
      <w:marTop w:val="0"/>
      <w:marBottom w:val="0"/>
      <w:divBdr>
        <w:top w:val="none" w:sz="0" w:space="0" w:color="auto"/>
        <w:left w:val="none" w:sz="0" w:space="0" w:color="auto"/>
        <w:bottom w:val="none" w:sz="0" w:space="0" w:color="auto"/>
        <w:right w:val="none" w:sz="0" w:space="0" w:color="auto"/>
      </w:divBdr>
    </w:div>
    <w:div w:id="1994335466">
      <w:bodyDiv w:val="1"/>
      <w:marLeft w:val="0"/>
      <w:marRight w:val="0"/>
      <w:marTop w:val="0"/>
      <w:marBottom w:val="0"/>
      <w:divBdr>
        <w:top w:val="none" w:sz="0" w:space="0" w:color="auto"/>
        <w:left w:val="none" w:sz="0" w:space="0" w:color="auto"/>
        <w:bottom w:val="none" w:sz="0" w:space="0" w:color="auto"/>
        <w:right w:val="none" w:sz="0" w:space="0" w:color="auto"/>
      </w:divBdr>
    </w:div>
    <w:div w:id="2061393506">
      <w:bodyDiv w:val="1"/>
      <w:marLeft w:val="0"/>
      <w:marRight w:val="0"/>
      <w:marTop w:val="0"/>
      <w:marBottom w:val="0"/>
      <w:divBdr>
        <w:top w:val="none" w:sz="0" w:space="0" w:color="auto"/>
        <w:left w:val="none" w:sz="0" w:space="0" w:color="auto"/>
        <w:bottom w:val="none" w:sz="0" w:space="0" w:color="auto"/>
        <w:right w:val="none" w:sz="0" w:space="0" w:color="auto"/>
      </w:divBdr>
    </w:div>
    <w:div w:id="21096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E9CF9-8FAD-4198-BDCC-525C4AD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4163</Words>
  <Characters>24978</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Aleksandra Mura</cp:lastModifiedBy>
  <cp:revision>56</cp:revision>
  <cp:lastPrinted>2024-05-22T08:11:00Z</cp:lastPrinted>
  <dcterms:created xsi:type="dcterms:W3CDTF">2024-05-16T07:00:00Z</dcterms:created>
  <dcterms:modified xsi:type="dcterms:W3CDTF">2024-05-22T08:11:00Z</dcterms:modified>
</cp:coreProperties>
</file>